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1C" w:rsidRPr="00047E1C" w:rsidRDefault="00047E1C" w:rsidP="00047E1C">
      <w:pPr>
        <w:pStyle w:val="3"/>
        <w:widowControl w:val="0"/>
        <w:rPr>
          <w:color w:val="000000"/>
          <w:sz w:val="20"/>
        </w:rPr>
      </w:pPr>
      <w:r w:rsidRPr="00047E1C">
        <w:rPr>
          <w:color w:val="000000"/>
          <w:sz w:val="20"/>
        </w:rPr>
        <w:t>Техническое задание</w:t>
      </w:r>
    </w:p>
    <w:p w:rsidR="00047E1C" w:rsidRPr="00047E1C" w:rsidRDefault="00047E1C" w:rsidP="00047E1C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аукцион в электронной форме.</w:t>
      </w:r>
    </w:p>
    <w:p w:rsidR="00047E1C" w:rsidRPr="00047E1C" w:rsidRDefault="00047E1C" w:rsidP="00047E1C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Наименование объекта закупки: Поставка технических средств реабилитации (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специальных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средств при нарушении функций выделения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для обеспечения инвалидов Орловской области в 2018 году. </w:t>
      </w:r>
    </w:p>
    <w:p w:rsidR="00047E1C" w:rsidRPr="00047E1C" w:rsidRDefault="00047E1C" w:rsidP="00047E1C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Количество выполняемых работ (</w:t>
      </w: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поставки товара, оказания услуг</w:t>
      </w:r>
      <w:proofErr w:type="gramStart"/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)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30939</w:t>
      </w:r>
      <w:proofErr w:type="gramEnd"/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штук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047E1C" w:rsidRPr="00047E1C" w:rsidRDefault="00047E1C" w:rsidP="00047E1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 поставки </w:t>
      </w:r>
      <w:proofErr w:type="gramStart"/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товара  Получателям</w:t>
      </w:r>
      <w:proofErr w:type="gramEnd"/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: </w:t>
      </w:r>
      <w:r w:rsidRPr="0004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 10.12.2018 г. включительно</w:t>
      </w:r>
    </w:p>
    <w:p w:rsidR="00047E1C" w:rsidRPr="00047E1C" w:rsidRDefault="00047E1C" w:rsidP="00047E1C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Сроки взаиморасчетов </w:t>
      </w:r>
      <w:proofErr w:type="gramStart"/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по  Контракту</w:t>
      </w:r>
      <w:proofErr w:type="gramEnd"/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: </w:t>
      </w:r>
      <w:r w:rsidRPr="0004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</w:t>
      </w: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29.12.2018</w:t>
      </w: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г.</w:t>
      </w:r>
      <w:r w:rsidRPr="00047E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включительно</w:t>
      </w:r>
    </w:p>
    <w:p w:rsidR="00047E1C" w:rsidRPr="00047E1C" w:rsidRDefault="00047E1C" w:rsidP="00047E1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Начальная (максимальная) цена </w:t>
      </w:r>
      <w:proofErr w:type="gramStart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Контракта: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047E1C">
        <w:rPr>
          <w:rFonts w:ascii="Times New Roman" w:eastAsia="Times New Roman" w:hAnsi="Times New Roman" w:cs="Times New Roman"/>
          <w:b/>
          <w:color w:val="000000"/>
          <w:lang w:eastAsia="ru-RU"/>
        </w:rPr>
        <w:t>2486494</w:t>
      </w:r>
      <w:proofErr w:type="gramEnd"/>
      <w:r w:rsidRPr="00047E1C">
        <w:rPr>
          <w:rFonts w:ascii="Times New Roman" w:eastAsia="Times New Roman" w:hAnsi="Times New Roman" w:cs="Times New Roman"/>
          <w:b/>
          <w:color w:val="000000"/>
          <w:lang w:eastAsia="ru-RU"/>
        </w:rPr>
        <w:t>,83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руб.</w:t>
      </w:r>
    </w:p>
    <w:p w:rsidR="00047E1C" w:rsidRPr="00047E1C" w:rsidRDefault="00047E1C" w:rsidP="00047E1C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047E1C" w:rsidRPr="00047E1C" w:rsidRDefault="00047E1C" w:rsidP="00047E1C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047E1C" w:rsidRPr="00047E1C" w:rsidRDefault="00047E1C" w:rsidP="00047E1C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W w:w="48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96"/>
        <w:gridCol w:w="2438"/>
        <w:gridCol w:w="59"/>
        <w:gridCol w:w="2775"/>
        <w:gridCol w:w="2927"/>
        <w:gridCol w:w="51"/>
        <w:gridCol w:w="1627"/>
        <w:gridCol w:w="53"/>
        <w:gridCol w:w="22"/>
        <w:gridCol w:w="1496"/>
        <w:gridCol w:w="51"/>
        <w:gridCol w:w="11"/>
        <w:gridCol w:w="1277"/>
      </w:tblGrid>
      <w:tr w:rsidR="00047E1C" w:rsidRPr="00047E1C" w:rsidTr="00047E1C">
        <w:trPr>
          <w:trHeight w:val="701"/>
        </w:trPr>
        <w:tc>
          <w:tcPr>
            <w:tcW w:w="302" w:type="pc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1031" w:type="pct"/>
            <w:gridSpan w:val="3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bookmarkStart w:id="0" w:name="_Hlk524694212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043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598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Кол-во,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(шт.)  </w:t>
            </w:r>
          </w:p>
        </w:tc>
        <w:tc>
          <w:tcPr>
            <w:tcW w:w="560" w:type="pct"/>
            <w:gridSpan w:val="3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Цена, руб.</w:t>
            </w:r>
          </w:p>
        </w:tc>
        <w:tc>
          <w:tcPr>
            <w:tcW w:w="477" w:type="pct"/>
            <w:gridSpan w:val="3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Стоимость за единицу, руб.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698" w:type="pct"/>
            <w:gridSpan w:val="13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Двухкомпонентный дренируемый </w:t>
            </w:r>
            <w:proofErr w:type="spellStart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 для втянутых </w:t>
            </w:r>
            <w:proofErr w:type="spellStart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стом</w:t>
            </w:r>
            <w:proofErr w:type="spellEnd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 в комплекте: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 w:val="restar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31" w:type="pct"/>
            <w:gridSpan w:val="3"/>
            <w:vMerge w:val="restar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- </w:t>
            </w: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адгезивная пластина,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конвексная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адгезивная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конвексная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пластина на натуральной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560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8395,80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139,93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400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вырезаемое отверстие под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стому</w:t>
            </w:r>
            <w:proofErr w:type="spellEnd"/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фланец для крепления мешка (диаметром 50 мм), соответствующий фланцу мешка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811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диаметр фланца пластины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50 мм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 w:val="restar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 w:val="restar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уростомный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 мешок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мешок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уростомный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дренируемый  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560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18563,40</w:t>
            </w:r>
          </w:p>
        </w:tc>
        <w:tc>
          <w:tcPr>
            <w:tcW w:w="477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103,13</w:t>
            </w:r>
          </w:p>
        </w:tc>
      </w:tr>
      <w:tr w:rsidR="00047E1C" w:rsidRPr="00047E1C" w:rsidTr="00047E1C">
        <w:trPr>
          <w:trHeight w:val="621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555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фланец (кольцо-защелка) для крепления мешка к пластине (диаметром 50 мм), соответствующий фланцу пластины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506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диаметр фланца мешка</w:t>
            </w:r>
          </w:p>
        </w:tc>
        <w:tc>
          <w:tcPr>
            <w:tcW w:w="1061" w:type="pct"/>
            <w:gridSpan w:val="2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50 мм</w:t>
            </w:r>
          </w:p>
        </w:tc>
        <w:tc>
          <w:tcPr>
            <w:tcW w:w="580" w:type="pct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0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7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698" w:type="pct"/>
            <w:gridSpan w:val="13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 Двухкомпонентный дренируемый калоприемник для втянутых </w:t>
            </w:r>
            <w:proofErr w:type="spellStart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>стом</w:t>
            </w:r>
            <w:proofErr w:type="spellEnd"/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  <w:t xml:space="preserve"> в комплекте:</w:t>
            </w:r>
          </w:p>
        </w:tc>
      </w:tr>
      <w:tr w:rsidR="00047E1C" w:rsidRPr="00047E1C" w:rsidTr="00047E1C">
        <w:trPr>
          <w:trHeight w:val="1365"/>
        </w:trPr>
        <w:tc>
          <w:tcPr>
            <w:tcW w:w="302" w:type="pct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адгезивная пластина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конвексная</w:t>
            </w:r>
            <w:proofErr w:type="spellEnd"/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адгезивная   пластина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конвексная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натуральной,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 с защитным покрытием</w:t>
            </w:r>
          </w:p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наличие</w:t>
            </w:r>
          </w:p>
        </w:tc>
        <w:tc>
          <w:tcPr>
            <w:tcW w:w="599" w:type="pct"/>
            <w:gridSpan w:val="2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559" w:type="pct"/>
            <w:gridSpan w:val="3"/>
            <w:vMerge w:val="restar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8520,00</w:t>
            </w:r>
          </w:p>
        </w:tc>
        <w:tc>
          <w:tcPr>
            <w:tcW w:w="459" w:type="pct"/>
            <w:gridSpan w:val="2"/>
            <w:vMerge w:val="restart"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142,00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828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составе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адгезива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содержатся компоненты для обеспечения абсорбции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наличие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1039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мешка, соответствующее фланцу мешка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476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диаметр фланцевого кольца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50 мм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 w:val="restart"/>
            <w:vAlign w:val="center"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- мешок дренируемый</w:t>
            </w: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proofErr w:type="gram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мешок  дренируемый</w:t>
            </w:r>
            <w:proofErr w:type="gramEnd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(открытый)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559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26148,60</w:t>
            </w:r>
          </w:p>
        </w:tc>
        <w:tc>
          <w:tcPr>
            <w:tcW w:w="459" w:type="pct"/>
            <w:gridSpan w:val="2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145,27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1122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 и звук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зажим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 к пластине, соответствующее фланцу пластины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562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диаметр фланца мешка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50 мм</w:t>
            </w:r>
          </w:p>
        </w:tc>
        <w:tc>
          <w:tcPr>
            <w:tcW w:w="59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796"/>
        </w:trPr>
        <w:tc>
          <w:tcPr>
            <w:tcW w:w="302" w:type="pct"/>
            <w:vMerge w:val="restart"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31" w:type="pct"/>
            <w:gridSpan w:val="3"/>
            <w:vMerge w:val="restart"/>
            <w:vAlign w:val="center"/>
            <w:hideMark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Адгезивная пластина - кожный барьер</w:t>
            </w: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-  пластина адгезивная, гидроколлоидная;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559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4572,00</w:t>
            </w:r>
          </w:p>
        </w:tc>
        <w:tc>
          <w:tcPr>
            <w:tcW w:w="459" w:type="pct"/>
            <w:gridSpan w:val="2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76,20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left="-128" w:firstLine="1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924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имеет возможность визуального контроля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перистомальной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области;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 с наружной полупроницаемой эластичной полиуретановой пленкой, регулирующей испарение; 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имеется шкала для определения размера повреждения; 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9" w:type="pct"/>
            <w:gridSpan w:val="2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rPr>
          <w:trHeight w:val="929"/>
        </w:trPr>
        <w:tc>
          <w:tcPr>
            <w:tcW w:w="302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gridSpan w:val="3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9" w:type="pct"/>
            <w:hideMark/>
          </w:tcPr>
          <w:p w:rsidR="00047E1C" w:rsidRPr="00047E1C" w:rsidRDefault="00047E1C" w:rsidP="00047E1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-в Изделии цветовая индикация, извещающая о необходимости </w:t>
            </w:r>
            <w:proofErr w:type="gram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смены  Изделия</w:t>
            </w:r>
            <w:proofErr w:type="gram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61" w:type="pct"/>
            <w:gridSpan w:val="2"/>
            <w:hideMark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Наличие </w:t>
            </w:r>
          </w:p>
        </w:tc>
        <w:tc>
          <w:tcPr>
            <w:tcW w:w="599" w:type="pct"/>
            <w:gridSpan w:val="2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9" w:type="pct"/>
            <w:gridSpan w:val="2"/>
            <w:vMerge/>
            <w:vAlign w:val="center"/>
            <w:hideMark/>
          </w:tcPr>
          <w:p w:rsidR="00047E1C" w:rsidRPr="00047E1C" w:rsidRDefault="00047E1C" w:rsidP="00047E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bookmarkEnd w:id="0"/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4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Однокомпонентный дренируемый калоприемник со встроенной плоской пластиной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неразъемный дренируемый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стомный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мешок 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07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30000</w:t>
            </w: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2386800,00</w:t>
            </w:r>
          </w:p>
        </w:tc>
        <w:tc>
          <w:tcPr>
            <w:tcW w:w="455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79,56</w:t>
            </w: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наличие 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52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фиксация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зажим в комплекте (не менее 1 одноразового самоклеящегося гибкого на каждый мешок или зажим многократного применения)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встроенная плоская адгезивная пластина на натуральной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основе, с защитным покрытием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на пластине – разметка для вырезания отверстия под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стому</w:t>
            </w:r>
            <w:proofErr w:type="spellEnd"/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наличие 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208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максимальный диаметр вырезаемого отверстия 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Не менее 70 мм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5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Катетер для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  <w:t>эпицистостомы</w:t>
            </w:r>
            <w:proofErr w:type="spellEnd"/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продолжительной катетеризации мочевого пузыря через естественную уретру/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эпицистому</w:t>
            </w:r>
            <w:proofErr w:type="spellEnd"/>
          </w:p>
        </w:tc>
        <w:tc>
          <w:tcPr>
            <w:tcW w:w="607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384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30209,28</w:t>
            </w:r>
          </w:p>
        </w:tc>
        <w:tc>
          <w:tcPr>
            <w:tcW w:w="455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78,67</w:t>
            </w: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 или силикон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дренажных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отверствий</w:t>
            </w:r>
            <w:proofErr w:type="spellEnd"/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для соединения с мешком для сбора мочи</w:t>
            </w:r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</w:t>
            </w:r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vMerge w:val="restart"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различных размеров для индивидуального подбора получателям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14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607" w:type="pct"/>
            <w:gridSpan w:val="3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vMerge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18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607" w:type="pct"/>
            <w:gridSpan w:val="3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vMerge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24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607" w:type="pct"/>
            <w:gridSpan w:val="3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vMerge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28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607" w:type="pct"/>
            <w:gridSpan w:val="3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vMerge/>
            <w:shd w:val="clear" w:color="auto" w:fill="auto"/>
          </w:tcPr>
          <w:p w:rsidR="00047E1C" w:rsidRPr="00047E1C" w:rsidRDefault="00047E1C" w:rsidP="00047E1C">
            <w:pPr>
              <w:spacing w:before="100" w:beforeAutospacing="1" w:after="100" w:afterAutospacing="1" w:line="7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30 </w:t>
            </w: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607" w:type="pct"/>
            <w:gridSpan w:val="3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 w:val="restart"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</w:t>
            </w: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Пояс для калоприемников/ </w:t>
            </w:r>
            <w:proofErr w:type="spellStart"/>
            <w:r w:rsidRPr="00047E1C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  <w:t>уроприемников</w:t>
            </w:r>
            <w:proofErr w:type="spellEnd"/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61" w:type="pct"/>
            <w:gridSpan w:val="2"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дополнительная фиксация </w:t>
            </w:r>
            <w:proofErr w:type="spellStart"/>
            <w:proofErr w:type="gramStart"/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калоприемников</w:t>
            </w:r>
          </w:p>
        </w:tc>
        <w:tc>
          <w:tcPr>
            <w:tcW w:w="607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3285,75</w:t>
            </w:r>
          </w:p>
        </w:tc>
        <w:tc>
          <w:tcPr>
            <w:tcW w:w="455" w:type="pct"/>
            <w:vMerge w:val="restar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219,05</w:t>
            </w: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7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9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>регулируемая длина для индивидуального подбора получателю</w:t>
            </w:r>
          </w:p>
        </w:tc>
        <w:tc>
          <w:tcPr>
            <w:tcW w:w="1061" w:type="pct"/>
            <w:gridSpan w:val="2"/>
            <w:vAlign w:val="center"/>
          </w:tcPr>
          <w:p w:rsidR="00047E1C" w:rsidRPr="00047E1C" w:rsidRDefault="00047E1C" w:rsidP="00047E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607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3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vMerge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</w:tc>
      </w:tr>
      <w:tr w:rsidR="00047E1C" w:rsidRPr="00047E1C" w:rsidTr="00047E1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2" w:type="pct"/>
          <w:trHeight w:val="70"/>
          <w:jc w:val="center"/>
        </w:trPr>
        <w:tc>
          <w:tcPr>
            <w:tcW w:w="141" w:type="pct"/>
            <w:vMerge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0" w:type="pct"/>
            <w:gridSpan w:val="5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607" w:type="pct"/>
            <w:gridSpan w:val="3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30939 </w:t>
            </w:r>
          </w:p>
        </w:tc>
        <w:tc>
          <w:tcPr>
            <w:tcW w:w="555" w:type="pct"/>
            <w:gridSpan w:val="3"/>
            <w:shd w:val="clear" w:color="auto" w:fill="auto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2486494,83</w:t>
            </w:r>
          </w:p>
        </w:tc>
        <w:tc>
          <w:tcPr>
            <w:tcW w:w="455" w:type="pct"/>
            <w:vAlign w:val="center"/>
          </w:tcPr>
          <w:p w:rsidR="00047E1C" w:rsidRPr="00047E1C" w:rsidRDefault="00047E1C" w:rsidP="00047E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7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Х </w:t>
            </w:r>
          </w:p>
        </w:tc>
      </w:tr>
    </w:tbl>
    <w:p w:rsidR="00047E1C" w:rsidRPr="00047E1C" w:rsidRDefault="000D1482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D14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каталогом товаров, работ, услуг (</w:t>
      </w:r>
      <w:r w:rsidRPr="000D14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Код позиции КТРУ 32.50.50.000-0000029; 32.50.50.000-00000289; 32.50.50.000-00000295</w:t>
      </w:r>
      <w:r w:rsidRPr="000D14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="00047E1C"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="00047E1C"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абилитации</w:t>
      </w:r>
      <w:proofErr w:type="spellEnd"/>
      <w:r w:rsidR="00047E1C"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                         Общие требования, предъявляемые к Товару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Специальные средства при нарушениях функций выделения должны соответствовать требованиям: ГОСТ ИСО 10993-1-2011, ГОСТ ИСО 10993-5-2011, ГОСТ ИСО 10993-10-2011, ГОСТ Р 52770-2016, ГОСТ Р 51632-2014. 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Безопасность товара подтверждается наличием при поставке регистрационных удостоверений Федеральной службы по надзору в сфере здравоохранения.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Требования к сроку и (или) объему предоставления гарантий качества товара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Срок годности специальных средств на дату поставки должен быть не менее 1 года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 Условия хранения в закрытых сухих помещениях, без попадания прямых солнечных лучей.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                         Место, условия и сроки (периоды) поставки товара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</w:t>
      </w:r>
      <w:proofErr w:type="spellStart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Получателей.Начало</w:t>
      </w:r>
      <w:proofErr w:type="spellEnd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поставки - не позднее 15 (пятнадцати) календарных дней с даты заключения Контракта. Срок обеспечение инвалида (ветерана) техническим средством (изделием) серийного производства со дня обращения инвалида (ветерана) к Поставщику (соисполнителю) – не более 30 календарных дней, но не позднее 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10 декабря 2018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года включительно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047E1C" w:rsidRPr="00047E1C" w:rsidRDefault="00047E1C" w:rsidP="00047E1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Окончание поставки – </w:t>
      </w: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не позднее 10 декабря 2018 года включительно.</w:t>
      </w:r>
    </w:p>
    <w:p w:rsidR="00047E1C" w:rsidRDefault="00047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GoBack"/>
      <w:bookmarkEnd w:id="1"/>
    </w:p>
    <w:sectPr w:rsidR="00047E1C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01A0B"/>
    <w:rsid w:val="00035F4E"/>
    <w:rsid w:val="000432FF"/>
    <w:rsid w:val="00047E1C"/>
    <w:rsid w:val="0006566E"/>
    <w:rsid w:val="000873B3"/>
    <w:rsid w:val="00095575"/>
    <w:rsid w:val="000D1482"/>
    <w:rsid w:val="000E7B52"/>
    <w:rsid w:val="000F5110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7B3F"/>
    <w:rsid w:val="001F54B9"/>
    <w:rsid w:val="00223B4F"/>
    <w:rsid w:val="002631DF"/>
    <w:rsid w:val="002776CC"/>
    <w:rsid w:val="002A309B"/>
    <w:rsid w:val="002B1CB1"/>
    <w:rsid w:val="0031631F"/>
    <w:rsid w:val="003332F8"/>
    <w:rsid w:val="0039132E"/>
    <w:rsid w:val="003B3447"/>
    <w:rsid w:val="003B65AF"/>
    <w:rsid w:val="003C454F"/>
    <w:rsid w:val="003F295A"/>
    <w:rsid w:val="003F66BF"/>
    <w:rsid w:val="0040069F"/>
    <w:rsid w:val="00421C68"/>
    <w:rsid w:val="0045541D"/>
    <w:rsid w:val="0046293E"/>
    <w:rsid w:val="00472D98"/>
    <w:rsid w:val="0048325D"/>
    <w:rsid w:val="00486CC0"/>
    <w:rsid w:val="004C2C77"/>
    <w:rsid w:val="004E3415"/>
    <w:rsid w:val="00510E83"/>
    <w:rsid w:val="00517FF7"/>
    <w:rsid w:val="00535D96"/>
    <w:rsid w:val="005830DF"/>
    <w:rsid w:val="005C29F9"/>
    <w:rsid w:val="005C4687"/>
    <w:rsid w:val="005D0A8E"/>
    <w:rsid w:val="005D5E50"/>
    <w:rsid w:val="005E4B32"/>
    <w:rsid w:val="00622E36"/>
    <w:rsid w:val="00626E11"/>
    <w:rsid w:val="00636745"/>
    <w:rsid w:val="00637440"/>
    <w:rsid w:val="006420C2"/>
    <w:rsid w:val="006536A8"/>
    <w:rsid w:val="0066695F"/>
    <w:rsid w:val="006759B0"/>
    <w:rsid w:val="006B65FC"/>
    <w:rsid w:val="006C0F7C"/>
    <w:rsid w:val="006C5252"/>
    <w:rsid w:val="006C64FD"/>
    <w:rsid w:val="006F0204"/>
    <w:rsid w:val="006F1AD3"/>
    <w:rsid w:val="0071422F"/>
    <w:rsid w:val="007215BC"/>
    <w:rsid w:val="00723FDD"/>
    <w:rsid w:val="00736148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8C6B15"/>
    <w:rsid w:val="009362CA"/>
    <w:rsid w:val="00945B0C"/>
    <w:rsid w:val="00960830"/>
    <w:rsid w:val="00984505"/>
    <w:rsid w:val="00984A6E"/>
    <w:rsid w:val="00993548"/>
    <w:rsid w:val="009A1F77"/>
    <w:rsid w:val="009D1960"/>
    <w:rsid w:val="009D1986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F73EC"/>
    <w:rsid w:val="00B1018D"/>
    <w:rsid w:val="00B10EE6"/>
    <w:rsid w:val="00B17DC8"/>
    <w:rsid w:val="00B219C2"/>
    <w:rsid w:val="00B25B45"/>
    <w:rsid w:val="00B636F0"/>
    <w:rsid w:val="00BC454B"/>
    <w:rsid w:val="00BC5FA9"/>
    <w:rsid w:val="00BC6AC6"/>
    <w:rsid w:val="00BF6930"/>
    <w:rsid w:val="00C03935"/>
    <w:rsid w:val="00C06444"/>
    <w:rsid w:val="00C1105A"/>
    <w:rsid w:val="00C37ADD"/>
    <w:rsid w:val="00C60556"/>
    <w:rsid w:val="00C64D1E"/>
    <w:rsid w:val="00C65F70"/>
    <w:rsid w:val="00C73B35"/>
    <w:rsid w:val="00C80A07"/>
    <w:rsid w:val="00CC59C9"/>
    <w:rsid w:val="00CE0CB2"/>
    <w:rsid w:val="00D07EE1"/>
    <w:rsid w:val="00D456B6"/>
    <w:rsid w:val="00D64D61"/>
    <w:rsid w:val="00D87AE3"/>
    <w:rsid w:val="00D94BB2"/>
    <w:rsid w:val="00DA505C"/>
    <w:rsid w:val="00DC0B71"/>
    <w:rsid w:val="00DC1660"/>
    <w:rsid w:val="00DF214B"/>
    <w:rsid w:val="00E2256C"/>
    <w:rsid w:val="00E2381E"/>
    <w:rsid w:val="00E305BE"/>
    <w:rsid w:val="00E81849"/>
    <w:rsid w:val="00EA1849"/>
    <w:rsid w:val="00EA1D8E"/>
    <w:rsid w:val="00EE23FC"/>
    <w:rsid w:val="00F03E01"/>
    <w:rsid w:val="00F042BA"/>
    <w:rsid w:val="00F1596F"/>
    <w:rsid w:val="00F66802"/>
    <w:rsid w:val="00F7164E"/>
    <w:rsid w:val="00F74EFB"/>
    <w:rsid w:val="00F77D03"/>
    <w:rsid w:val="00F91255"/>
    <w:rsid w:val="00FC1200"/>
    <w:rsid w:val="00FC4375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24">
    <w:name w:val="Сетка таблицы2"/>
    <w:basedOn w:val="a1"/>
    <w:next w:val="ac"/>
    <w:uiPriority w:val="59"/>
    <w:rsid w:val="00C6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59"/>
    <w:rsid w:val="0046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2018-09-17T14:31:00Z</cp:lastPrinted>
  <dcterms:created xsi:type="dcterms:W3CDTF">2018-09-25T14:34:00Z</dcterms:created>
  <dcterms:modified xsi:type="dcterms:W3CDTF">2018-09-25T14:43:00Z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