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5E" w:rsidRDefault="0006495E" w:rsidP="0006495E">
      <w:pPr>
        <w:suppressAutoHyphens/>
        <w:jc w:val="center"/>
        <w:rPr>
          <w:b/>
          <w:bCs/>
          <w:sz w:val="24"/>
          <w:szCs w:val="24"/>
          <w:lang w:eastAsia="ar-SA"/>
        </w:rPr>
      </w:pPr>
      <w:r>
        <w:rPr>
          <w:rFonts w:eastAsia="Calibri"/>
          <w:b/>
          <w:iCs/>
          <w:sz w:val="24"/>
          <w:szCs w:val="24"/>
          <w:lang w:eastAsia="ar-SA"/>
        </w:rPr>
        <w:t>ТЕХНИЧЕСКОЕ ЗАДАНИЕ</w:t>
      </w:r>
    </w:p>
    <w:p w:rsidR="0006495E" w:rsidRDefault="0006495E" w:rsidP="0006495E">
      <w:pPr>
        <w:keepLines/>
        <w:widowControl w:val="0"/>
        <w:suppressLineNumbers/>
        <w:autoSpaceDE w:val="0"/>
        <w:jc w:val="center"/>
        <w:rPr>
          <w:b/>
          <w:sz w:val="24"/>
          <w:szCs w:val="24"/>
        </w:rPr>
      </w:pPr>
      <w:r>
        <w:rPr>
          <w:b/>
          <w:sz w:val="24"/>
          <w:szCs w:val="24"/>
          <w:lang w:eastAsia="ar-SA"/>
        </w:rPr>
        <w:t xml:space="preserve">на </w:t>
      </w:r>
      <w:r>
        <w:rPr>
          <w:rFonts w:eastAsia="Calibri"/>
          <w:b/>
          <w:iCs/>
          <w:sz w:val="24"/>
          <w:szCs w:val="24"/>
          <w:lang w:eastAsia="ar-SA"/>
        </w:rPr>
        <w:t xml:space="preserve">выполнение работ по изготовлению для инвалидов </w:t>
      </w:r>
      <w:r>
        <w:rPr>
          <w:b/>
          <w:sz w:val="24"/>
          <w:szCs w:val="24"/>
        </w:rPr>
        <w:t>протезно-ортопедических изделий в 2018 году</w:t>
      </w:r>
    </w:p>
    <w:p w:rsidR="0006495E" w:rsidRDefault="0006495E" w:rsidP="0006495E">
      <w:pPr>
        <w:keepLines/>
        <w:widowControl w:val="0"/>
        <w:suppressLineNumbers/>
        <w:autoSpaceDE w:val="0"/>
        <w:jc w:val="center"/>
        <w:rPr>
          <w:b/>
          <w:sz w:val="24"/>
          <w:szCs w:val="24"/>
        </w:rPr>
      </w:pPr>
    </w:p>
    <w:p w:rsidR="0006495E" w:rsidRDefault="0006495E" w:rsidP="0006495E">
      <w:pPr>
        <w:pStyle w:val="a3"/>
        <w:keepLines/>
        <w:widowControl w:val="0"/>
        <w:numPr>
          <w:ilvl w:val="0"/>
          <w:numId w:val="1"/>
        </w:numPr>
        <w:suppressLineNumbers/>
        <w:autoSpaceDE w:val="0"/>
        <w:spacing w:after="0" w:line="240" w:lineRule="auto"/>
        <w:jc w:val="both"/>
        <w:rPr>
          <w:rFonts w:ascii="Times New Roman" w:hAnsi="Times New Roman"/>
          <w:b/>
          <w:sz w:val="24"/>
          <w:szCs w:val="24"/>
        </w:rPr>
      </w:pPr>
      <w:r>
        <w:rPr>
          <w:rFonts w:ascii="Times New Roman" w:hAnsi="Times New Roman"/>
          <w:b/>
          <w:sz w:val="24"/>
          <w:szCs w:val="24"/>
        </w:rPr>
        <w:t>Предмет Контракта</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Выполнение работ по изготовлению для инвалидов протезно-ортопедических изделий в 2018 году.</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Объем выполняемых работ — 36 шт.</w:t>
      </w:r>
    </w:p>
    <w:p w:rsidR="0006495E" w:rsidRDefault="0006495E" w:rsidP="0006495E">
      <w:pPr>
        <w:pStyle w:val="a3"/>
        <w:numPr>
          <w:ilvl w:val="0"/>
          <w:numId w:val="1"/>
        </w:num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Требования к качеству выполняемых работ</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В состав работ по изготовлению для инвалидов протезно-ортопедических изделий входит: проведение индивидуального обмера по месту нахождения Исполнителя, изготовление протезно-ортопедических изделий по индивидуальным обмерам, их примерка и передача инвалиду по месту нахождения Исполнителя.</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Протезно-ортопедические изделия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Аппараты также должны соответствовать требованиям ГОСТ Р ИСО 22523-2007 «Протезы конечностей и ортезы наружные. Требования и методы испытаний».</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 xml:space="preserve">Выполнение работ должно быть направлено на изготовление протезно-ортопедических изделий, которые обеспечивают механическую фиксацию, разгрузку, компенсацию поврежденных или реконструированных суставов, костей, сумочно-связочного или мышечно-связочного аппарата и других функций организма. </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Материалы, узлы, полуфабрикаты для изготовления протезно-ортопедических изделий должны соответствовать требованиям действующих стандартов.</w:t>
      </w:r>
    </w:p>
    <w:p w:rsidR="0006495E" w:rsidRDefault="0006495E" w:rsidP="0006495E">
      <w:pPr>
        <w:pStyle w:val="a3"/>
        <w:keepLines/>
        <w:widowControl w:val="0"/>
        <w:numPr>
          <w:ilvl w:val="0"/>
          <w:numId w:val="1"/>
        </w:numPr>
        <w:suppressLineNumbers/>
        <w:autoSpaceDE w:val="0"/>
        <w:spacing w:after="0" w:line="240" w:lineRule="auto"/>
        <w:jc w:val="both"/>
        <w:rPr>
          <w:rFonts w:ascii="Times New Roman" w:hAnsi="Times New Roman"/>
          <w:b/>
          <w:sz w:val="24"/>
          <w:szCs w:val="24"/>
        </w:rPr>
      </w:pPr>
      <w:r>
        <w:rPr>
          <w:rFonts w:ascii="Times New Roman" w:hAnsi="Times New Roman"/>
          <w:b/>
          <w:sz w:val="24"/>
          <w:szCs w:val="24"/>
        </w:rPr>
        <w:t xml:space="preserve">Требования к размерам, упаковке и хранению протезно-ортопедических изделий </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Упаковка протезно-ортопедических изделий должна обеспечивать защиту от повреждений, порчи (изнашивания) или загрязнения во время хранения и транспортировки.</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Маркировка протезно-ортопедических изделий, а также их упаковка, хранение и транспортировка к месту жительства инвалидов (ветеранов) должны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06495E" w:rsidRDefault="0006495E" w:rsidP="0006495E">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Требования к сроку и (или) объему предоставленных гарантий качества выполняемых работ</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При передаче изготовленного протезно-ортопедического изделия инвалидам Исполнитель должен проинформировать инвалидов о месте и условиях гарантийного ремонта протезно-ортопедического изделия.</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Гарантийный срок устанавливается со дня подписания Акта сдачи-приемки работ инвалидом:</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 на аппараты – не менее 7 месяцев.</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В случае предъявления претензий инвалидов к качеству полученных протезно-ортопедических изделий, Исполнитель обязан принять от Получателя некачественное протезно-ортопедическое изделие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Замена должна производиться Исполнителем за счет собственных средств по месту его нахождения.</w:t>
      </w:r>
    </w:p>
    <w:p w:rsidR="0006495E" w:rsidRDefault="0006495E" w:rsidP="0006495E">
      <w:pPr>
        <w:widowControl w:val="0"/>
        <w:tabs>
          <w:tab w:val="left" w:pos="1068"/>
        </w:tabs>
        <w:autoSpaceDE w:val="0"/>
        <w:autoSpaceDN w:val="0"/>
        <w:adjustRightInd w:val="0"/>
        <w:ind w:firstLine="709"/>
        <w:jc w:val="both"/>
        <w:rPr>
          <w:sz w:val="24"/>
          <w:szCs w:val="24"/>
        </w:rPr>
      </w:pPr>
      <w:r>
        <w:rPr>
          <w:sz w:val="24"/>
          <w:szCs w:val="24"/>
        </w:rPr>
        <w:t>Обеспечение ремонта протезно-ортопедического изделия, устранения недостатков должно осуществляться в соответствии с Федеральным законом от 07.02.1992 г. №2300-1 «О защите прав потребителей».</w:t>
      </w:r>
    </w:p>
    <w:p w:rsidR="0006495E" w:rsidRDefault="0006495E" w:rsidP="0006495E">
      <w:pPr>
        <w:pStyle w:val="a3"/>
        <w:widowControl w:val="0"/>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Требования к месту, срокам и условиям выполнения работ</w:t>
      </w:r>
    </w:p>
    <w:p w:rsidR="0006495E" w:rsidRDefault="0006495E" w:rsidP="0006495E">
      <w:pPr>
        <w:suppressAutoHyphens/>
        <w:ind w:firstLine="709"/>
        <w:jc w:val="both"/>
        <w:rPr>
          <w:sz w:val="24"/>
          <w:szCs w:val="24"/>
        </w:rPr>
      </w:pPr>
      <w:r>
        <w:rPr>
          <w:sz w:val="24"/>
          <w:szCs w:val="24"/>
        </w:rPr>
        <w:lastRenderedPageBreak/>
        <w:t>Выполнение работ по изготовлению для инвалидов протезно-ортопедических изделий должно быть начато не позднее 5 (пяти) рабочих дней с момента получения списков Получателей от Заказчика и исполнено в срок не позднее 01 октября 2018 года (включительно), а в случае обращения инвалида с Направлением – в срок не более 60 календарных дней со дня обращения, но не позднее 01 октября 2018 года (включительно).</w:t>
      </w:r>
    </w:p>
    <w:p w:rsidR="0006495E" w:rsidRDefault="0006495E" w:rsidP="0006495E">
      <w:pPr>
        <w:suppressAutoHyphens/>
        <w:ind w:firstLine="709"/>
        <w:jc w:val="both"/>
        <w:rPr>
          <w:sz w:val="24"/>
          <w:szCs w:val="24"/>
        </w:rPr>
      </w:pPr>
      <w:r>
        <w:rPr>
          <w:sz w:val="24"/>
          <w:szCs w:val="24"/>
        </w:rPr>
        <w:t>О предстоящем выполнении работ по работ по изготовлению для инвалидов протезно-ортопедических изделий инвалид должен быть уведомлен Исполнителем не позднее, чем за десять рабочих дней до предполагаемой даты замера.</w:t>
      </w:r>
    </w:p>
    <w:p w:rsidR="0006495E" w:rsidRDefault="0006495E" w:rsidP="0006495E">
      <w:pPr>
        <w:suppressAutoHyphens/>
        <w:ind w:firstLine="709"/>
        <w:jc w:val="both"/>
        <w:rPr>
          <w:sz w:val="24"/>
          <w:szCs w:val="24"/>
        </w:rPr>
      </w:pPr>
      <w:r>
        <w:rPr>
          <w:sz w:val="24"/>
          <w:szCs w:val="24"/>
        </w:rPr>
        <w:t>Место выполнения работ – Российская Федерация, по месту нахождения Исполнителя.</w:t>
      </w:r>
    </w:p>
    <w:p w:rsidR="0006495E" w:rsidRDefault="0006495E" w:rsidP="0006495E">
      <w:pPr>
        <w:suppressAutoHyphens/>
        <w:ind w:firstLine="709"/>
        <w:jc w:val="both"/>
        <w:rPr>
          <w:sz w:val="24"/>
          <w:szCs w:val="24"/>
        </w:rPr>
      </w:pPr>
      <w:r>
        <w:rPr>
          <w:sz w:val="24"/>
          <w:szCs w:val="24"/>
        </w:rPr>
        <w:t>В цену Контракта включаются все расходы Исполнителя, связанные с выполнением работ по изготовлению для инвалидов 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6495E" w:rsidRDefault="0006495E" w:rsidP="0006495E">
      <w:pPr>
        <w:pStyle w:val="a3"/>
        <w:widowControl w:val="0"/>
        <w:numPr>
          <w:ilvl w:val="0"/>
          <w:numId w:val="1"/>
        </w:numPr>
        <w:spacing w:after="0" w:line="240" w:lineRule="auto"/>
        <w:jc w:val="both"/>
        <w:rPr>
          <w:rFonts w:ascii="Times New Roman" w:eastAsia="Times New Roman" w:hAnsi="Times New Roman"/>
          <w:b/>
          <w:sz w:val="24"/>
          <w:szCs w:val="24"/>
          <w:lang w:eastAsia="ar-SA"/>
        </w:rPr>
      </w:pPr>
      <w:r>
        <w:rPr>
          <w:rFonts w:ascii="Times New Roman" w:hAnsi="Times New Roman"/>
          <w:b/>
          <w:sz w:val="24"/>
          <w:szCs w:val="24"/>
        </w:rPr>
        <w:t>Описание</w:t>
      </w:r>
      <w:r>
        <w:rPr>
          <w:rFonts w:ascii="Times New Roman" w:eastAsia="Times New Roman" w:hAnsi="Times New Roman"/>
          <w:b/>
          <w:sz w:val="24"/>
          <w:szCs w:val="24"/>
          <w:lang w:eastAsia="ar-SA"/>
        </w:rPr>
        <w:t xml:space="preserve"> функциональных и технических характеристик работ</w:t>
      </w:r>
    </w:p>
    <w:tbl>
      <w:tblPr>
        <w:tblW w:w="9750" w:type="dxa"/>
        <w:tblLayout w:type="fixed"/>
        <w:tblLook w:val="04A0" w:firstRow="1" w:lastRow="0" w:firstColumn="1" w:lastColumn="0" w:noHBand="0" w:noVBand="1"/>
      </w:tblPr>
      <w:tblGrid>
        <w:gridCol w:w="8758"/>
        <w:gridCol w:w="992"/>
      </w:tblGrid>
      <w:tr w:rsidR="0006495E">
        <w:trPr>
          <w:trHeight w:val="393"/>
        </w:trPr>
        <w:tc>
          <w:tcPr>
            <w:tcW w:w="8755" w:type="dxa"/>
            <w:tcBorders>
              <w:top w:val="single" w:sz="8" w:space="0" w:color="auto"/>
              <w:left w:val="single" w:sz="8" w:space="0" w:color="auto"/>
              <w:bottom w:val="single" w:sz="8" w:space="0" w:color="auto"/>
              <w:right w:val="single" w:sz="8" w:space="0" w:color="auto"/>
            </w:tcBorders>
            <w:vAlign w:val="center"/>
            <w:hideMark/>
          </w:tcPr>
          <w:p w:rsidR="0006495E" w:rsidRDefault="0006495E">
            <w:pPr>
              <w:jc w:val="center"/>
              <w:rPr>
                <w:b/>
                <w:bCs/>
                <w:color w:val="000000"/>
                <w:sz w:val="24"/>
                <w:szCs w:val="24"/>
              </w:rPr>
            </w:pPr>
            <w:r>
              <w:rPr>
                <w:b/>
                <w:bCs/>
                <w:iCs/>
                <w:color w:val="000000"/>
                <w:sz w:val="24"/>
                <w:szCs w:val="24"/>
              </w:rPr>
              <w:t>Наименование и описание</w:t>
            </w:r>
          </w:p>
        </w:tc>
        <w:tc>
          <w:tcPr>
            <w:tcW w:w="992" w:type="dxa"/>
            <w:tcBorders>
              <w:top w:val="single" w:sz="8" w:space="0" w:color="auto"/>
              <w:left w:val="nil"/>
              <w:bottom w:val="single" w:sz="8" w:space="0" w:color="auto"/>
              <w:right w:val="single" w:sz="8" w:space="0" w:color="auto"/>
            </w:tcBorders>
            <w:vAlign w:val="center"/>
            <w:hideMark/>
          </w:tcPr>
          <w:p w:rsidR="0006495E" w:rsidRDefault="0006495E">
            <w:pPr>
              <w:jc w:val="center"/>
              <w:rPr>
                <w:b/>
                <w:bCs/>
                <w:color w:val="000000"/>
                <w:sz w:val="24"/>
                <w:szCs w:val="24"/>
              </w:rPr>
            </w:pPr>
            <w:r>
              <w:rPr>
                <w:b/>
                <w:bCs/>
                <w:iCs/>
                <w:color w:val="000000"/>
                <w:sz w:val="24"/>
                <w:szCs w:val="24"/>
              </w:rPr>
              <w:t>Кол-во, шт.</w:t>
            </w:r>
          </w:p>
        </w:tc>
      </w:tr>
      <w:tr w:rsidR="0006495E">
        <w:trPr>
          <w:trHeight w:val="60"/>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лучезапястный сустав</w:t>
            </w:r>
          </w:p>
          <w:p w:rsidR="0006495E" w:rsidRDefault="0006495E">
            <w:pPr>
              <w:rPr>
                <w:b/>
                <w:sz w:val="22"/>
                <w:szCs w:val="22"/>
              </w:rPr>
            </w:pPr>
            <w:r>
              <w:rPr>
                <w:sz w:val="22"/>
                <w:szCs w:val="22"/>
              </w:rPr>
              <w:t>Аппарат на лучезапястный сустав предназначен для пациентов с деформациями или контрактурами лучезапястного сустава вследствие травматических и неврологических причин. Аппарат состоит из гильзы кисти, лучезапястного шарнира и гильзы предплечья. Гильзы аппарата выполнены из низкотемпературного термопласта медицинского назначения. Лучезапястные шарниры беззамковые. Конструкция аппарата может содержать упругие элементы для тренировки отдельных групп мышц либо этапной коррекции контрактур пользователя.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1</w:t>
            </w:r>
          </w:p>
        </w:tc>
      </w:tr>
      <w:tr w:rsidR="0006495E">
        <w:trPr>
          <w:trHeight w:val="60"/>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кисть и лучезапястный сустав</w:t>
            </w:r>
          </w:p>
          <w:p w:rsidR="0006495E" w:rsidRDefault="0006495E">
            <w:pPr>
              <w:rPr>
                <w:color w:val="000000"/>
              </w:rPr>
            </w:pPr>
            <w:r>
              <w:rPr>
                <w:sz w:val="22"/>
                <w:szCs w:val="22"/>
              </w:rPr>
              <w:t>Аппарат на кисть и лучезапястный сустав предназначен для пациентов с деформациями или контрактурами суставов кисти лучезапястного сустава вследствие травматических и неврологических причин. Аппарат состоит из гильзы кисти, лучезапястного шарнира и гильзы предплечья. Гильзы аппарата выполнены из низкотемпературного термопласта медицинского назначения. Лучезапястные шарниры беззамковые. Конструкция аппарата может содержать упругие элементы для тренировки отдельных групп мышц либо этапной коррекции контрактур пользователя.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1</w:t>
            </w:r>
          </w:p>
        </w:tc>
      </w:tr>
      <w:tr w:rsidR="0006495E">
        <w:trPr>
          <w:trHeight w:val="144"/>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кисть и лучезапястный сустав</w:t>
            </w:r>
          </w:p>
          <w:p w:rsidR="0006495E" w:rsidRDefault="0006495E">
            <w:pPr>
              <w:rPr>
                <w:color w:val="000000"/>
              </w:rPr>
            </w:pPr>
            <w:r>
              <w:rPr>
                <w:sz w:val="22"/>
                <w:szCs w:val="22"/>
              </w:rPr>
              <w:t>Аппарат на кисть и лучезапястный сустав предназначен для пациентов с деформациями или контрактурами суставов кисти лучезапястного сустава вследствие травматических и неврологических причин. Аппарат состоит из гильзы кисти, лучезапястного шарнира и гильзы предплечья. Гильзы аппарата выполнены из низкотемпературного термопласта медицинского назначения. Лучезапястные шарниры беззамковые. Конструкция аппарата может содержать упругие элементы для тренировки отдельных групп мышц либо этапной коррекции контрактур пользователя.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8</w:t>
            </w:r>
          </w:p>
        </w:tc>
      </w:tr>
      <w:tr w:rsidR="0006495E">
        <w:trPr>
          <w:trHeight w:val="155"/>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локтевой сустав</w:t>
            </w:r>
          </w:p>
          <w:p w:rsidR="0006495E" w:rsidRDefault="0006495E">
            <w:pPr>
              <w:rPr>
                <w:color w:val="000000"/>
              </w:rPr>
            </w:pPr>
            <w:r>
              <w:rPr>
                <w:sz w:val="22"/>
                <w:szCs w:val="22"/>
              </w:rPr>
              <w:t>Аппарат на локтевой сустав предназначен для расширения функциональных возможностей пациентов с деформацией локтевого сустава.  Аппарат состоит из гильзы плеча и предплечья. Гильза плеча и предплечья соединены между собой беззамковыми либо замковыми шарнирами, в зависимости от медицинских показаний. Шарниры локтевого сустава обеспечивают сгибательные и разгибательные движения. Гильзы аппарата выполнены из низкотемпературного термопласта медицинского назначения с металлическими закладными элементами.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3</w:t>
            </w:r>
          </w:p>
        </w:tc>
      </w:tr>
      <w:tr w:rsidR="0006495E">
        <w:trPr>
          <w:trHeight w:val="60"/>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кисть, лучезапястный и локтевой суставы</w:t>
            </w:r>
          </w:p>
          <w:p w:rsidR="0006495E" w:rsidRDefault="0006495E">
            <w:pPr>
              <w:rPr>
                <w:color w:val="000000"/>
              </w:rPr>
            </w:pPr>
            <w:r>
              <w:rPr>
                <w:sz w:val="22"/>
                <w:szCs w:val="22"/>
              </w:rPr>
              <w:t xml:space="preserve">Аппарат на кисть, лучезапястный и локтевой суставы предназначен для пациентов с деформациями или контрактурами суставов кисти лучезапястного сустава и локтевого сустава вследствие травматических и неврологических причин. Аппарат состоит из гильзы кисти, лучезапястного шарнира и гильзы предплечья, локтевого шарнира и гильзы плеча. Гильзы аппарата выполнены из низкотемпературного термопласта медицинского назначения. Лучезапястные шарниры беззамковые. Локтевые шарниры беззамковые или замковые в зависимости от медицинской необходимости.  Конструкция аппарата может </w:t>
            </w:r>
            <w:r>
              <w:rPr>
                <w:sz w:val="22"/>
                <w:szCs w:val="22"/>
              </w:rPr>
              <w:lastRenderedPageBreak/>
              <w:t>содержать упругие элементы для тренировки отдельных групп мышц либо этапной коррекции контрактур пользователя.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lastRenderedPageBreak/>
              <w:t>15</w:t>
            </w:r>
          </w:p>
        </w:tc>
      </w:tr>
      <w:tr w:rsidR="0006495E">
        <w:trPr>
          <w:trHeight w:val="60"/>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lastRenderedPageBreak/>
              <w:t>Аппарат на лучезапястный и локтевой суставы</w:t>
            </w:r>
          </w:p>
          <w:p w:rsidR="0006495E" w:rsidRDefault="0006495E">
            <w:pPr>
              <w:rPr>
                <w:color w:val="000000"/>
              </w:rPr>
            </w:pPr>
            <w:r>
              <w:rPr>
                <w:sz w:val="22"/>
                <w:szCs w:val="22"/>
              </w:rPr>
              <w:t>Аппарат на лучезапястный и локтевой суставы предназначен для пациентов с деформациями или контрактурами лучезапястного сустава и локтевого сустава вследствие травматических и неврологических причин. Аппарат состоит из гильзы кисти, лучезапястного шарнира и гильзы предплечья, локтевого шарнира и гильзы плеча. Гильзы аппарата выполнены из низкотемпературного термопласта медицинского назначения. Лучезапястные шарниры беззамковые. Локтевые шарниры беззамковые или замковые в зависимости от медицинской необходимости.  Крепление индивидуальное, Велкро.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7</w:t>
            </w:r>
          </w:p>
        </w:tc>
      </w:tr>
      <w:tr w:rsidR="0006495E">
        <w:trPr>
          <w:trHeight w:val="60"/>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sz w:val="22"/>
                <w:szCs w:val="22"/>
              </w:rPr>
            </w:pPr>
            <w:r>
              <w:rPr>
                <w:b/>
                <w:sz w:val="22"/>
                <w:szCs w:val="22"/>
              </w:rPr>
              <w:t>Аппарат на всю ногу</w:t>
            </w:r>
          </w:p>
          <w:p w:rsidR="0006495E" w:rsidRDefault="0006495E">
            <w:pPr>
              <w:rPr>
                <w:color w:val="000000"/>
              </w:rPr>
            </w:pPr>
            <w:r>
              <w:rPr>
                <w:sz w:val="22"/>
                <w:szCs w:val="22"/>
              </w:rPr>
              <w:t>Аппарат на всю ногу состоит из башмачка, гильз голени и бедра, гильзы на туловище. Башмачок и гильза голени шарнирно соединены между собой. Гильзы бедра крепится к шинам, которые шарнирно соединены с шинами голени. В области коленного шарнира к резиновой тесьмы и закреплен в нижней части гильзы голени. Под действием резиновой тесьмы закреплена на верхней части гильзы бедра. Натяжением тянки вверх дужка замка поднимается и открывает замок. Фиксация тазового пояса обеспечивается жесткой гильзой на туловище соединенной металлическим вертлугом с гильзой бедра, что обеспечивает надежную фиксацию в вертикальном положении. Металлический вертлуг не препятствует сгибанию и разгибанию, а ограничивает боковые движения таза.</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color w:val="000000"/>
                <w:sz w:val="22"/>
              </w:rPr>
            </w:pPr>
            <w:r>
              <w:rPr>
                <w:color w:val="000000"/>
                <w:sz w:val="22"/>
              </w:rPr>
              <w:t>1</w:t>
            </w:r>
          </w:p>
        </w:tc>
      </w:tr>
      <w:tr w:rsidR="0006495E">
        <w:trPr>
          <w:trHeight w:val="79"/>
        </w:trPr>
        <w:tc>
          <w:tcPr>
            <w:tcW w:w="8755" w:type="dxa"/>
            <w:tcBorders>
              <w:top w:val="nil"/>
              <w:left w:val="single" w:sz="8" w:space="0" w:color="auto"/>
              <w:bottom w:val="single" w:sz="8" w:space="0" w:color="auto"/>
              <w:right w:val="single" w:sz="8" w:space="0" w:color="auto"/>
            </w:tcBorders>
            <w:vAlign w:val="center"/>
            <w:hideMark/>
          </w:tcPr>
          <w:p w:rsidR="0006495E" w:rsidRDefault="0006495E">
            <w:pPr>
              <w:rPr>
                <w:b/>
                <w:bCs/>
                <w:color w:val="000000"/>
                <w:sz w:val="24"/>
                <w:szCs w:val="24"/>
              </w:rPr>
            </w:pPr>
            <w:r>
              <w:rPr>
                <w:b/>
                <w:bCs/>
                <w:color w:val="000000"/>
                <w:sz w:val="24"/>
                <w:szCs w:val="24"/>
              </w:rPr>
              <w:t>Итого</w:t>
            </w:r>
          </w:p>
        </w:tc>
        <w:tc>
          <w:tcPr>
            <w:tcW w:w="992" w:type="dxa"/>
            <w:tcBorders>
              <w:top w:val="nil"/>
              <w:left w:val="nil"/>
              <w:bottom w:val="single" w:sz="8" w:space="0" w:color="auto"/>
              <w:right w:val="single" w:sz="8" w:space="0" w:color="auto"/>
            </w:tcBorders>
            <w:noWrap/>
            <w:vAlign w:val="center"/>
            <w:hideMark/>
          </w:tcPr>
          <w:p w:rsidR="0006495E" w:rsidRDefault="0006495E">
            <w:pPr>
              <w:jc w:val="center"/>
              <w:rPr>
                <w:b/>
                <w:bCs/>
                <w:color w:val="000000"/>
                <w:sz w:val="22"/>
              </w:rPr>
            </w:pPr>
            <w:r>
              <w:rPr>
                <w:b/>
                <w:bCs/>
                <w:color w:val="000000"/>
                <w:sz w:val="22"/>
              </w:rPr>
              <w:t>36</w:t>
            </w:r>
          </w:p>
        </w:tc>
      </w:tr>
    </w:tbl>
    <w:p w:rsidR="0006495E" w:rsidRDefault="0006495E" w:rsidP="0006495E">
      <w:pPr>
        <w:rPr>
          <w:sz w:val="24"/>
          <w:szCs w:val="24"/>
        </w:rPr>
      </w:pPr>
    </w:p>
    <w:p w:rsidR="00D7551C" w:rsidRDefault="0006495E" w:rsidP="0006495E">
      <w:r>
        <w:rPr>
          <w:sz w:val="24"/>
          <w:szCs w:val="24"/>
        </w:rPr>
        <w:br w:type="page"/>
      </w:r>
      <w:bookmarkStart w:id="0" w:name="_GoBack"/>
      <w:bookmarkEnd w:id="0"/>
    </w:p>
    <w:sectPr w:rsidR="00D7551C" w:rsidSect="007F666A">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19"/>
    <w:rsid w:val="0000012E"/>
    <w:rsid w:val="0000092A"/>
    <w:rsid w:val="00000D48"/>
    <w:rsid w:val="00001065"/>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85B"/>
    <w:rsid w:val="000429C1"/>
    <w:rsid w:val="00042A7B"/>
    <w:rsid w:val="00042D7A"/>
    <w:rsid w:val="00042EE6"/>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95E"/>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91F"/>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6859"/>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27BE"/>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257C"/>
    <w:rsid w:val="0019276D"/>
    <w:rsid w:val="00192789"/>
    <w:rsid w:val="00192957"/>
    <w:rsid w:val="00192E1E"/>
    <w:rsid w:val="00192EB9"/>
    <w:rsid w:val="001932B2"/>
    <w:rsid w:val="00193547"/>
    <w:rsid w:val="00193833"/>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4B4"/>
    <w:rsid w:val="001B3976"/>
    <w:rsid w:val="001B3CEA"/>
    <w:rsid w:val="001B417D"/>
    <w:rsid w:val="001B4900"/>
    <w:rsid w:val="001B4C41"/>
    <w:rsid w:val="001B4C7D"/>
    <w:rsid w:val="001B50DF"/>
    <w:rsid w:val="001B5510"/>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5DC6"/>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1C2E"/>
    <w:rsid w:val="001E2131"/>
    <w:rsid w:val="001E2232"/>
    <w:rsid w:val="001E22E1"/>
    <w:rsid w:val="001E266D"/>
    <w:rsid w:val="001E391E"/>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8DD"/>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2A3"/>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62A"/>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22BF"/>
    <w:rsid w:val="002D3268"/>
    <w:rsid w:val="002D3298"/>
    <w:rsid w:val="002D330F"/>
    <w:rsid w:val="002D3967"/>
    <w:rsid w:val="002D4590"/>
    <w:rsid w:val="002D4EBE"/>
    <w:rsid w:val="002D52E1"/>
    <w:rsid w:val="002D5508"/>
    <w:rsid w:val="002D57D4"/>
    <w:rsid w:val="002D589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000"/>
    <w:rsid w:val="0032320B"/>
    <w:rsid w:val="003232AC"/>
    <w:rsid w:val="00323B86"/>
    <w:rsid w:val="0032427B"/>
    <w:rsid w:val="003245EB"/>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62F"/>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0FD"/>
    <w:rsid w:val="0035333B"/>
    <w:rsid w:val="003537EB"/>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3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4BA"/>
    <w:rsid w:val="003A29B3"/>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DCF"/>
    <w:rsid w:val="00440E7F"/>
    <w:rsid w:val="0044144C"/>
    <w:rsid w:val="004414AC"/>
    <w:rsid w:val="00441684"/>
    <w:rsid w:val="0044171F"/>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2B"/>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756"/>
    <w:rsid w:val="00492963"/>
    <w:rsid w:val="00492BE2"/>
    <w:rsid w:val="0049320D"/>
    <w:rsid w:val="004932E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3DC"/>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3E1F"/>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1B7"/>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E94"/>
    <w:rsid w:val="005D4F19"/>
    <w:rsid w:val="005D52AC"/>
    <w:rsid w:val="005D530E"/>
    <w:rsid w:val="005D5364"/>
    <w:rsid w:val="005D538E"/>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59D"/>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597D"/>
    <w:rsid w:val="0060638E"/>
    <w:rsid w:val="006063AC"/>
    <w:rsid w:val="006068C6"/>
    <w:rsid w:val="006069DE"/>
    <w:rsid w:val="006069E4"/>
    <w:rsid w:val="00606BF2"/>
    <w:rsid w:val="00606C24"/>
    <w:rsid w:val="006071FD"/>
    <w:rsid w:val="00607CE8"/>
    <w:rsid w:val="00607E8C"/>
    <w:rsid w:val="0061022F"/>
    <w:rsid w:val="006102F3"/>
    <w:rsid w:val="006109F5"/>
    <w:rsid w:val="00610C46"/>
    <w:rsid w:val="00610FC7"/>
    <w:rsid w:val="00611114"/>
    <w:rsid w:val="00611D21"/>
    <w:rsid w:val="0061217A"/>
    <w:rsid w:val="00612A16"/>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490"/>
    <w:rsid w:val="006256CE"/>
    <w:rsid w:val="00625B4C"/>
    <w:rsid w:val="006264B3"/>
    <w:rsid w:val="00626D04"/>
    <w:rsid w:val="00627468"/>
    <w:rsid w:val="00627765"/>
    <w:rsid w:val="00630558"/>
    <w:rsid w:val="006307F1"/>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63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3DE"/>
    <w:rsid w:val="006546A4"/>
    <w:rsid w:val="00654712"/>
    <w:rsid w:val="006550F7"/>
    <w:rsid w:val="0065517A"/>
    <w:rsid w:val="0065526B"/>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9DA"/>
    <w:rsid w:val="006A1C39"/>
    <w:rsid w:val="006A21E4"/>
    <w:rsid w:val="006A252D"/>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232"/>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5EF5"/>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3C3"/>
    <w:rsid w:val="0071343F"/>
    <w:rsid w:val="00713995"/>
    <w:rsid w:val="00713BEE"/>
    <w:rsid w:val="00713C94"/>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8753D"/>
    <w:rsid w:val="007901C3"/>
    <w:rsid w:val="00790D05"/>
    <w:rsid w:val="0079113D"/>
    <w:rsid w:val="007914C2"/>
    <w:rsid w:val="00791C30"/>
    <w:rsid w:val="00791D7A"/>
    <w:rsid w:val="00791EA9"/>
    <w:rsid w:val="00792006"/>
    <w:rsid w:val="00792972"/>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5F2"/>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819"/>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800073"/>
    <w:rsid w:val="0080038D"/>
    <w:rsid w:val="008005D1"/>
    <w:rsid w:val="00800E0A"/>
    <w:rsid w:val="00800E90"/>
    <w:rsid w:val="008014DB"/>
    <w:rsid w:val="00801978"/>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CFC"/>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2E01"/>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4E9F"/>
    <w:rsid w:val="008754B5"/>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E42"/>
    <w:rsid w:val="00902F47"/>
    <w:rsid w:val="00903028"/>
    <w:rsid w:val="00903067"/>
    <w:rsid w:val="00903238"/>
    <w:rsid w:val="0090353C"/>
    <w:rsid w:val="00903D2E"/>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8E"/>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2F7E"/>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335"/>
    <w:rsid w:val="00A9385C"/>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6DE3"/>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2C9D"/>
    <w:rsid w:val="00AD3C32"/>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834"/>
    <w:rsid w:val="00B01ABB"/>
    <w:rsid w:val="00B01AEC"/>
    <w:rsid w:val="00B01C68"/>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440"/>
    <w:rsid w:val="00B13664"/>
    <w:rsid w:val="00B136C9"/>
    <w:rsid w:val="00B1381F"/>
    <w:rsid w:val="00B143CA"/>
    <w:rsid w:val="00B1473C"/>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3D20"/>
    <w:rsid w:val="00B2414F"/>
    <w:rsid w:val="00B24401"/>
    <w:rsid w:val="00B246A4"/>
    <w:rsid w:val="00B24721"/>
    <w:rsid w:val="00B24CD3"/>
    <w:rsid w:val="00B252AA"/>
    <w:rsid w:val="00B25443"/>
    <w:rsid w:val="00B2589F"/>
    <w:rsid w:val="00B25A8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3DDD"/>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6FC2"/>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86A"/>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C4C"/>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687C"/>
    <w:rsid w:val="00D070DA"/>
    <w:rsid w:val="00D077FA"/>
    <w:rsid w:val="00D07A1F"/>
    <w:rsid w:val="00D07C6A"/>
    <w:rsid w:val="00D07D2B"/>
    <w:rsid w:val="00D1046F"/>
    <w:rsid w:val="00D10851"/>
    <w:rsid w:val="00D10C2C"/>
    <w:rsid w:val="00D10C7C"/>
    <w:rsid w:val="00D1152A"/>
    <w:rsid w:val="00D118A5"/>
    <w:rsid w:val="00D124FC"/>
    <w:rsid w:val="00D12AEC"/>
    <w:rsid w:val="00D12BAD"/>
    <w:rsid w:val="00D130B7"/>
    <w:rsid w:val="00D14026"/>
    <w:rsid w:val="00D145C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70"/>
    <w:rsid w:val="00D20C82"/>
    <w:rsid w:val="00D21004"/>
    <w:rsid w:val="00D212C5"/>
    <w:rsid w:val="00D21688"/>
    <w:rsid w:val="00D218B8"/>
    <w:rsid w:val="00D21904"/>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2F1C"/>
    <w:rsid w:val="00D63194"/>
    <w:rsid w:val="00D638CB"/>
    <w:rsid w:val="00D63D0F"/>
    <w:rsid w:val="00D64049"/>
    <w:rsid w:val="00D642CE"/>
    <w:rsid w:val="00D64714"/>
    <w:rsid w:val="00D65217"/>
    <w:rsid w:val="00D65235"/>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4128"/>
    <w:rsid w:val="00D84737"/>
    <w:rsid w:val="00D8475B"/>
    <w:rsid w:val="00D84AB4"/>
    <w:rsid w:val="00D854BC"/>
    <w:rsid w:val="00D8622A"/>
    <w:rsid w:val="00D86C43"/>
    <w:rsid w:val="00D8793C"/>
    <w:rsid w:val="00D87D0B"/>
    <w:rsid w:val="00D902C2"/>
    <w:rsid w:val="00D906B2"/>
    <w:rsid w:val="00D906F2"/>
    <w:rsid w:val="00D90BAD"/>
    <w:rsid w:val="00D90E16"/>
    <w:rsid w:val="00D917D2"/>
    <w:rsid w:val="00D918EA"/>
    <w:rsid w:val="00D91E1B"/>
    <w:rsid w:val="00D92991"/>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12D"/>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BA9"/>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B0D"/>
    <w:rsid w:val="00DD3FF7"/>
    <w:rsid w:val="00DD40D4"/>
    <w:rsid w:val="00DD4FE1"/>
    <w:rsid w:val="00DD533C"/>
    <w:rsid w:val="00DD61F0"/>
    <w:rsid w:val="00DD621B"/>
    <w:rsid w:val="00DD62FC"/>
    <w:rsid w:val="00DD6317"/>
    <w:rsid w:val="00DD7618"/>
    <w:rsid w:val="00DD78CA"/>
    <w:rsid w:val="00DE074A"/>
    <w:rsid w:val="00DE09F7"/>
    <w:rsid w:val="00DE0C10"/>
    <w:rsid w:val="00DE0C64"/>
    <w:rsid w:val="00DE12FD"/>
    <w:rsid w:val="00DE13BD"/>
    <w:rsid w:val="00DE1BBF"/>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A73"/>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34A"/>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3B9"/>
    <w:rsid w:val="00E444A5"/>
    <w:rsid w:val="00E449BD"/>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273F"/>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BF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ACD"/>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671"/>
    <w:rsid w:val="00FC27B7"/>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75D"/>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32597-7E7D-416C-A773-54825803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dcterms:created xsi:type="dcterms:W3CDTF">2018-04-12T06:12:00Z</dcterms:created>
  <dcterms:modified xsi:type="dcterms:W3CDTF">2018-04-12T06:12:00Z</dcterms:modified>
</cp:coreProperties>
</file>