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Техническое задание на поставку технических средств реабилитации (Ходунки с дополнительной фиксацией (поддержкой) тела, в том числе, для больных ДЦП) для обеспечения инвалидов в 2018 году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4"/>
        <w:gridCol w:w="1275"/>
        <w:gridCol w:w="7230"/>
        <w:gridCol w:w="1559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и описание объекта закупки</w:t>
            </w:r>
          </w:p>
        </w:tc>
        <w:tc>
          <w:tcPr>
            <w:tcW w:w="7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Функциональные, технические и качественные характеристики объекта закупки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Количество, шт.</w:t>
            </w:r>
          </w:p>
        </w:tc>
      </w:tr>
      <w:tr>
        <w:trPr>
          <w:trHeight w:val="16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4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с дополнительной фиксацией (поддержкой) тела, в том числе, для больных ДЦП</w:t>
            </w:r>
          </w:p>
        </w:tc>
        <w:tc>
          <w:tcPr>
            <w:tcW w:w="7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четырьмя колесами с тормозами;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нескользящими рукоятками;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стабилизатор спины с страховочным ремнем для безопасности или мягкий фиксатор грудной клетки.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фиксатор таза или бедер.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ширина не менее 52 см не более 60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Длина ходунков не менее 52 см не более 57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Грузоподъемность не менее 22,6 кг.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Регулировка по высоте с шагом не более 2,5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Высота от пола до локтя не менее 40 см. не более 52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Масса не более 5 кг.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-14" w:left="-61" w:firstLine="5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 эксплуатации товара не менее 1 года с даты поставки товара Получателю и подписания акта поставки товара.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24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с дополнительной фиксацией (поддержкой) тела, в том числе, для больных ДЦП</w:t>
            </w:r>
          </w:p>
        </w:tc>
        <w:tc>
          <w:tcPr>
            <w:tcW w:w="7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четырьмя колесами с тормозами;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нескользящими рукоятками;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стабилизатор спины с страховочным ремнем для безопасности или мягкий фиксатор грудной клетки.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фиксатор таза или бедер.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ширина не менее 57 см не более 62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Длина ходунков не менее 63 см не более 76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Грузоподъемность не менее 34 кг.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Регулировка по высоте с шагом не более 2,5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Высота от пола до локтя не менее 47 см. не более 70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Масса не более 5,5 кг.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 эксплуатации товара не менее 1 года с даты поставки товара Получателю и подписания акта поставки товара.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24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с дополнительной фиксацией (поддержкой) тела, в том числе, для больных ДЦП</w:t>
            </w:r>
          </w:p>
        </w:tc>
        <w:tc>
          <w:tcPr>
            <w:tcW w:w="7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четырьмя колесами с тормозами;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нескользящими рукоятками;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стабилизатор спины с страховочным ремнем для безопасности или мягкий фиксатор грудной клетки.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фиксатор таза или бедер.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ширина не менее 61 см не более 86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Длина ходунков не менее 73 см не более 87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Грузоподъемность не менее 68 кг.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Регулировка по высоте с шагом не более 2,5 см.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Высота от пола до локтя не менее 61 см. не более 86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Масса не более 9 кг.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 эксплуатации товара не менее 1 года с даты поставки товара Получателю и подписания акта поставки товара.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4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с дополнительной фиксацией (поддержкой) тела, в том числе, для больных ДЦП</w:t>
            </w:r>
          </w:p>
        </w:tc>
        <w:tc>
          <w:tcPr>
            <w:tcW w:w="7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предназначены для детей, страдающих различными клиническими формами ДЦП, вялыми и спастическими парезами и параличами различной этиологии, сопровождающимися патологией опорно-двигательного аппарата и нарушением походки.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способствуют подавлению паталогической постуральной активности, создают условия для выработки и тренировки правильной походки с полной или частичной фиксацией пациента, для тренировки равновесия при стоянии или ходьбе.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 ходунков должен быть из стали.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Ходунки должны иметь два типоразмера, что позволит наиболее точно подобрать размер ходунков для возраста конкретного ребенка. 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технические характеристики: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Длина не менее 800 мм не более 810 мм;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Ширина не менее 550 мм не более 560 мм;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Ширина между ручками от 350 мм до 450 мм;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Высота охватывающего механизма от 550 мм до 850 мм</w:t>
            </w:r>
          </w:p>
          <w:p>
            <w:pPr>
              <w:keepNext w:val="true"/>
              <w:suppressAutoHyphens w:val="true"/>
              <w:spacing w:before="0" w:after="0" w:line="240"/>
              <w:ind w:right="-14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Грузоподъемность не менее 70 кг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срок: не менее 12 месяцев с даты выдачи товара Получателю и подписания акта приемки-передачи товара.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4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7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33" w:firstLine="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</w:tbl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3495" w:leader="none"/>
          <w:tab w:val="left" w:pos="9159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пользования товаром устанавливается в соответствии с Приказом Минтруда России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Федеральным законом от 21.11.2011г. № 323-ФЗ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Постановлением Правительства Российской Федерации от 27.12.2012г. № 1416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правил государственной регистрации медицинских изделий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все товары должны быть регистрационные удостоверения.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 товара должно подтверждаться декларацией о соответствии по Постановлению Правительства РФ от 01.12.2009г. № 982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Система сертификации ГОСТ).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>
      <w:pPr>
        <w:keepNext w:val="tru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Ходунки - приспособления, предназначенные для поддержания вертикального положения и ходьбы Получателей с выраженными нарушениями возможности передвижения. Ходунки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>
      <w:pPr>
        <w:keepNext w:val="true"/>
        <w:tabs>
          <w:tab w:val="left" w:pos="180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Р ИСО 9999-2014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Вспомогательные средства для людей с ограничениями жизнедеятельности. Классификация и терминология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ИСО 10993-1-2011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ИСО 10993-5-2011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ИСО 10993-10-2011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Р 51632-2014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ГОСТ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"http://www.rags.ru/gosts/gost/62435/"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Р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"http://www.rags.ru/gosts/gost/62435/"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ИСО 11199-1-2015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Средства вспомогательные для ходьбы, управляемые обеими руками. Требования и методы испытаний. Часть 1. Ходунки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tabs>
          <w:tab w:val="left" w:pos="180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keepNext w:val="true"/>
        <w:tabs>
          <w:tab w:val="left" w:pos="0" w:leader="none"/>
          <w:tab w:val="left" w:pos="9214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Товар не должен выделять при эксплуатации токсичных и агрессивных веществ. </w:t>
      </w:r>
    </w:p>
    <w:p>
      <w:pPr>
        <w:keepNext w:val="true"/>
        <w:tabs>
          <w:tab w:val="left" w:pos="0" w:leader="none"/>
          <w:tab w:val="left" w:pos="9214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использовании товара по назначению не должно создаваться угрозы для жизни и здоровья Получателя.</w:t>
      </w:r>
    </w:p>
    <w:p>
      <w:pPr>
        <w:keepNext w:val="tru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 гарантийного ремонта со дня обращения Получателя не должен превышать 20 рабочих дней. Обязательно наличие гарантийных талонов с  указанием адресов специализированных мастерских, в которые следует обращаться для гарантийного ремонта товара или устранения неисправностей, дающих право на бесплатный ремонт товара во время гарантийного срока пользования.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Маркировка упаковки товара должна включать: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условное обозначение группы товаров, товарную марку (при наличии), обозначение номера товара (при наличии);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страну-изготовителя;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предприятия-изготовителя, юридический адрес, товарный знак (при наличии);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отличительные характеристики товара в соответствии с их техническим исполнением (при наличии);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номер артикула (при наличии);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товара в упаковке;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дату (месяц, год) изготовления или гарантийный срок годности (при наличии);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 использования (при необходимости);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штриховой код товара (при наличии);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информацию о сертификации (при наличии).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Хранение должно осуществляться в соответствии с требованиями, предъявляемыми к данной категории товара.</w:t>
      </w:r>
    </w:p>
    <w:p>
      <w:pPr>
        <w:keepNext w:val="true"/>
        <w:tabs>
          <w:tab w:val="left" w:pos="3495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>
      <w:pPr>
        <w:keepNext w:val="tru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>
      <w:pPr>
        <w:keepNext w:val="true"/>
        <w:tabs>
          <w:tab w:val="left" w:pos="284" w:leader="none"/>
        </w:tabs>
        <w:suppressAutoHyphens w:val="true"/>
        <w:spacing w:before="0" w:after="0" w:line="240"/>
        <w:ind w:right="317" w:left="9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Место доставки товара:</w:t>
      </w:r>
    </w:p>
    <w:p>
      <w:pPr>
        <w:keepNext w:val="true"/>
        <w:tabs>
          <w:tab w:val="left" w:pos="284" w:leader="none"/>
          <w:tab w:val="left" w:pos="720" w:leader="none"/>
        </w:tabs>
        <w:suppressAutoHyphens w:val="true"/>
        <w:spacing w:before="0" w:after="0" w:line="240"/>
        <w:ind w:right="-39" w:left="9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>
      <w:pPr>
        <w:keepNext w:val="true"/>
        <w:tabs>
          <w:tab w:val="left" w:pos="284" w:leader="none"/>
        </w:tabs>
        <w:suppressAutoHyphens w:val="true"/>
        <w:spacing w:before="0" w:after="0" w:line="240"/>
        <w:ind w:right="0" w:left="9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>
      <w:pPr>
        <w:keepNext w:val="true"/>
        <w:keepLines w:val="true"/>
        <w:tabs>
          <w:tab w:val="left" w:pos="284" w:leader="none"/>
        </w:tabs>
        <w:suppressAutoHyphens w:val="true"/>
        <w:spacing w:before="0" w:after="0" w:line="240"/>
        <w:ind w:right="0" w:left="9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>
      <w:pPr>
        <w:keepNext w:val="true"/>
        <w:tabs>
          <w:tab w:val="left" w:pos="284" w:leader="none"/>
        </w:tabs>
        <w:suppressAutoHyphens w:val="true"/>
        <w:spacing w:before="0" w:after="0" w:line="240"/>
        <w:ind w:right="317" w:left="9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Срок поставки товара:</w:t>
      </w:r>
    </w:p>
    <w:p>
      <w:pPr>
        <w:keepNext w:val="true"/>
        <w:tabs>
          <w:tab w:val="left" w:pos="284" w:leader="none"/>
          <w:tab w:val="left" w:pos="3495" w:leader="none"/>
        </w:tabs>
        <w:suppressAutoHyphens w:val="true"/>
        <w:spacing w:before="0" w:after="0" w:line="240"/>
        <w:ind w:right="317" w:left="9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 дня заключения контракта до 15.12.2018г. должно быть поставлено 100% общего объема товаров.</w:t>
      </w:r>
    </w:p>
    <w:p>
      <w:pPr>
        <w:keepNext w:val="true"/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rags.ru/gosts/gost/62435/" Id="docRId0" Type="http://schemas.openxmlformats.org/officeDocument/2006/relationships/hyperlink"/><Relationship TargetMode="External" Target="http://www.rags.ru/gosts/gost/62435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