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A6" w:rsidRDefault="00E645C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IV. Описание объекта закупки.</w:t>
      </w:r>
    </w:p>
    <w:p w:rsidR="005728FE" w:rsidRDefault="00C62B39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5728FE">
        <w:rPr>
          <w:rFonts w:ascii="Times New Roman" w:eastAsia="Times New Roman" w:hAnsi="Times New Roman" w:cs="Times New Roman"/>
          <w:sz w:val="28"/>
        </w:rPr>
        <w:t xml:space="preserve">поставка в 2018 году </w:t>
      </w:r>
      <w:r w:rsidR="00F50488">
        <w:rPr>
          <w:rFonts w:ascii="Times New Roman" w:eastAsia="Times New Roman" w:hAnsi="Times New Roman" w:cs="Times New Roman"/>
          <w:sz w:val="28"/>
        </w:rPr>
        <w:t>сложной ортопедической обуви</w:t>
      </w:r>
      <w:r w:rsidR="005728FE">
        <w:rPr>
          <w:rFonts w:ascii="Times New Roman" w:eastAsia="Times New Roman" w:hAnsi="Times New Roman" w:cs="Times New Roman"/>
          <w:sz w:val="28"/>
        </w:rPr>
        <w:t xml:space="preserve"> для обеспечения </w:t>
      </w:r>
      <w:r w:rsidR="00FE4D16">
        <w:rPr>
          <w:rFonts w:ascii="Times New Roman" w:eastAsia="Times New Roman" w:hAnsi="Times New Roman" w:cs="Times New Roman"/>
          <w:sz w:val="28"/>
        </w:rPr>
        <w:t>детей-</w:t>
      </w:r>
      <w:r w:rsidR="005728FE">
        <w:rPr>
          <w:rFonts w:ascii="Times New Roman" w:eastAsia="Times New Roman" w:hAnsi="Times New Roman" w:cs="Times New Roman"/>
          <w:sz w:val="28"/>
        </w:rPr>
        <w:t>инвалидов</w:t>
      </w:r>
      <w:r w:rsidR="00FE4D16">
        <w:rPr>
          <w:rFonts w:ascii="Times New Roman" w:eastAsia="Times New Roman" w:hAnsi="Times New Roman" w:cs="Times New Roman"/>
          <w:sz w:val="28"/>
        </w:rPr>
        <w:t>.</w:t>
      </w:r>
    </w:p>
    <w:p w:rsidR="00C62B3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Описание, функциональные, технические и качественные характеристики </w:t>
      </w:r>
      <w:r w:rsidR="00641A24">
        <w:rPr>
          <w:rFonts w:ascii="Times New Roman" w:eastAsia="Times New Roman" w:hAnsi="Times New Roman" w:cs="Times New Roman"/>
          <w:b/>
          <w:sz w:val="28"/>
        </w:rPr>
        <w:t>Товара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50488" w:rsidRPr="00BE1C89" w:rsidRDefault="00283A65" w:rsidP="00F50488">
      <w:pPr>
        <w:shd w:val="clear" w:color="auto" w:fill="FBFBFB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Сложная ортопедическая о</w:t>
      </w:r>
      <w:r w:rsidR="00F50488"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бувь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F50488"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должна соответствовать требованиям:</w:t>
      </w:r>
    </w:p>
    <w:p w:rsidR="00F50488" w:rsidRPr="00BE1C89" w:rsidRDefault="00F50488" w:rsidP="00F5048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</w:t>
      </w:r>
      <w:proofErr w:type="gramStart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</w:t>
      </w:r>
      <w:proofErr w:type="gramEnd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 и токсикологических испытаний»;</w:t>
      </w:r>
    </w:p>
    <w:p w:rsidR="00F50488" w:rsidRPr="00BE1C89" w:rsidRDefault="00F50488" w:rsidP="00F50488">
      <w:pPr>
        <w:suppressAutoHyphens/>
        <w:spacing w:after="0" w:line="240" w:lineRule="auto"/>
        <w:ind w:left="147" w:right="147" w:firstLine="5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Государственного стандарта Российской Федерации ГОСТ </w:t>
      </w:r>
      <w:proofErr w:type="gramStart"/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54407-2011 «Обувь Ортопедическая. Общие технические условия».</w:t>
      </w:r>
    </w:p>
    <w:p w:rsidR="00F50488" w:rsidRPr="00BE1C89" w:rsidRDefault="00F50488" w:rsidP="00F50488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Ортопедическая обувь должна иметь специальную форму и конструкцию,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 и обеспечивать: </w:t>
      </w:r>
    </w:p>
    <w:p w:rsidR="00F50488" w:rsidRPr="00BE1C89" w:rsidRDefault="00F50488" w:rsidP="00F5048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достаточность опороспособности конечности;</w:t>
      </w:r>
    </w:p>
    <w:p w:rsidR="00F50488" w:rsidRPr="00BE1C89" w:rsidRDefault="00F50488" w:rsidP="00F5048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деформации.</w:t>
      </w:r>
    </w:p>
    <w:p w:rsidR="00F50488" w:rsidRDefault="00F50488" w:rsidP="00F5048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F50488" w:rsidRDefault="00FE4D16" w:rsidP="00F50488">
      <w:pPr>
        <w:suppressAutoHyphens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– 300</w:t>
      </w:r>
      <w:r w:rsidR="00F50488">
        <w:rPr>
          <w:rFonts w:ascii="Times New Roman" w:eastAsia="Times New Roman" w:hAnsi="Times New Roman" w:cs="Times New Roman"/>
          <w:sz w:val="28"/>
        </w:rPr>
        <w:t>0 шт., включая обеспечение следующими протезно-ортопедическими изделиями: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6"/>
        <w:gridCol w:w="6770"/>
        <w:gridCol w:w="1593"/>
      </w:tblGrid>
      <w:tr w:rsidR="00FE4D16" w:rsidTr="00FE4D16">
        <w:trPr>
          <w:trHeight w:val="71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Наименование Товара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Технические характеристики Товара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D16" w:rsidRDefault="00FE4D16" w:rsidP="00FE4D16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Количество Товара шт.</w:t>
            </w:r>
          </w:p>
        </w:tc>
      </w:tr>
      <w:tr w:rsidR="00FE4D16" w:rsidTr="00FE4D16">
        <w:trPr>
          <w:trHeight w:val="1682"/>
        </w:trPr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pacing w:before="150" w:after="150" w:line="240" w:lineRule="auto"/>
              <w:ind w:left="150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Сложная ортопедическая обувь при плоской стопе, вальгусной деформации стоп, отклонении большого пальца кнаружи и резко выраженных сочетанных деформациях стопы,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сгибательной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контрактуре пальцев, деформации ногтей,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молоткообразных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пальцах и резко выраженных сочетанных деформациях стопы, полой стопе и резко выраженных сочетанных деформациях стопы, множественных рубцах поверхности стопы, поперечном плоскостопии, пяточной шпоре с дополнительными сопутствующими деформациями. </w:t>
            </w:r>
            <w:proofErr w:type="gramEnd"/>
          </w:p>
          <w:p w:rsidR="00FE4D16" w:rsidRDefault="00FE4D16" w:rsidP="00FE4D16">
            <w:pPr>
              <w:spacing w:before="150" w:after="150" w:line="240" w:lineRule="auto"/>
              <w:ind w:left="150"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Сложная ортопедическая обувь для инвалидов без обеих рук</w:t>
            </w:r>
          </w:p>
        </w:tc>
      </w:tr>
      <w:tr w:rsidR="00FE4D16" w:rsidTr="00FE4D16">
        <w:trPr>
          <w:cantSplit/>
          <w:trHeight w:val="92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 без утепленной подкладки детские; с супинатором или пронатором, или с невысокой боковой поддержкой.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670</w:t>
            </w:r>
          </w:p>
        </w:tc>
      </w:tr>
      <w:tr w:rsidR="00FE4D16" w:rsidTr="00FE4D16">
        <w:trPr>
          <w:cantSplit/>
          <w:trHeight w:val="84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 на утепленной подкладке детские; с супинатором или пронатором, или с невысокой боковой поддержкой.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D16" w:rsidRDefault="00FE4D16" w:rsidP="00FE4D16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E4D16" w:rsidTr="00FE4D16">
        <w:trPr>
          <w:trHeight w:val="1222"/>
        </w:trPr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Сложная ортопедическая обувь 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эквино-варусной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деформации стопы, пяточной стопе, конской стопе, сосудистых заболеваниях нижних конечностей, сахарном диабете. Сложная ортопедическая обувь: при отвисающей стопе, при полном параличе мышц стопы, при выраженной косолапости, при выраженной плоско-вальгусной деформации стопы</w:t>
            </w:r>
          </w:p>
        </w:tc>
      </w:tr>
      <w:tr w:rsidR="00FE4D16" w:rsidTr="00FE4D16">
        <w:trPr>
          <w:cantSplit/>
          <w:trHeight w:val="95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Ботинки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Ботинки без утепленной подкладки детские; на сложно-деформированную стопу (конскую,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эквино-варусную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половарусную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при косолапости).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3000</w:t>
            </w:r>
          </w:p>
        </w:tc>
      </w:tr>
      <w:tr w:rsidR="00FE4D16" w:rsidTr="00FE4D16">
        <w:trPr>
          <w:cantSplit/>
          <w:trHeight w:val="983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Ботинки на утепленной подкладке детские; на сложно-деформированную стопу (конскую,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эквино-варусную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половарусную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при косолапости).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E4D16" w:rsidTr="00FE4D16">
        <w:trPr>
          <w:cantSplit/>
          <w:trHeight w:val="113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Ботинки без утепленной подкладки детские;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полукорсетом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жёсткими берцами, или высокой боковой поддержкой, или с высоким узким жестким задником, или с задником, продленным до носка.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E4D16" w:rsidTr="00FE4D16">
        <w:trPr>
          <w:cantSplit/>
          <w:trHeight w:val="1126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Ботинки на утепленной подкладке детские;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полукорсетом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жёсткими берцами, или высокой боковой поддержкой, или с высоким узким жестким задником, или с задником, продленным до носка.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E4D16" w:rsidTr="00FE4D16">
        <w:trPr>
          <w:trHeight w:val="352"/>
        </w:trPr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Сложная ортопедическая обувь на укорочение конечности</w:t>
            </w:r>
          </w:p>
        </w:tc>
      </w:tr>
      <w:tr w:rsidR="00FE4D16" w:rsidTr="00FE4D16">
        <w:trPr>
          <w:cantSplit/>
          <w:trHeight w:val="75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Ботинки без утепленной подкладки детские; на укорочение свыше 3 см.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</w:tr>
      <w:tr w:rsidR="00FE4D16" w:rsidTr="00FE4D16">
        <w:trPr>
          <w:cantSplit/>
          <w:trHeight w:val="629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D16" w:rsidRDefault="00FE4D16" w:rsidP="00FE4D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Ботинки на утепленной подкладке утеплённые детские; на укорочение свыше 3 см. 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D16" w:rsidRDefault="00FE4D16" w:rsidP="00FE4D16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</w:tbl>
    <w:p w:rsidR="00F50488" w:rsidRPr="00BE1C89" w:rsidRDefault="00F50488" w:rsidP="00F5048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F33BD9" w:rsidRDefault="00F33BD9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5281"/>
        <w:gridCol w:w="2172"/>
      </w:tblGrid>
      <w:tr w:rsidR="00F50488" w:rsidTr="00FE4D16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FE4D1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изделия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FE4D1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Исчисление срока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FE4D1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Минимальный гарантийный срок</w:t>
            </w:r>
          </w:p>
        </w:tc>
      </w:tr>
      <w:tr w:rsidR="00F50488" w:rsidTr="00FE4D16">
        <w:trPr>
          <w:trHeight w:val="125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F50488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Сложная ортопедическая обувь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FE4D16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 дня выдачи готового изделия в эксплуатацию. Начало сезона определяется в соответствии с законом «О защите прав потребителей».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E4D16" w:rsidP="00FE4D16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F50488">
              <w:rPr>
                <w:rFonts w:ascii="Times New Roman" w:eastAsia="Times New Roman" w:hAnsi="Times New Roman" w:cs="Times New Roman"/>
                <w:sz w:val="24"/>
              </w:rPr>
              <w:t xml:space="preserve"> календарных дней</w:t>
            </w:r>
          </w:p>
        </w:tc>
      </w:tr>
    </w:tbl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66C2" w:rsidRDefault="00A366C2" w:rsidP="00DA5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75A6" w:rsidRDefault="00F375A6" w:rsidP="005E203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F375A6" w:rsidSect="005E203E">
      <w:headerReference w:type="default" r:id="rId9"/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B1" w:rsidRDefault="004B26B1" w:rsidP="006B0AFC">
      <w:pPr>
        <w:spacing w:after="0" w:line="240" w:lineRule="auto"/>
      </w:pPr>
      <w:r>
        <w:separator/>
      </w:r>
    </w:p>
  </w:endnote>
  <w:endnote w:type="continuationSeparator" w:id="0">
    <w:p w:rsidR="004B26B1" w:rsidRDefault="004B26B1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16" w:rsidRDefault="00FE4D16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FAD9CD" wp14:editId="62828B93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D16" w:rsidRDefault="00FE4D16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5E203E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FE4D16" w:rsidRDefault="00FE4D16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5E203E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317B37" wp14:editId="1650CDA4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D16" w:rsidRDefault="00FE4D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FE4D16" w:rsidRDefault="00FE4D16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4EDCC31" wp14:editId="21BF55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D16" w:rsidRDefault="00FE4D16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FE4D16" w:rsidRDefault="00FE4D16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B1" w:rsidRDefault="004B26B1" w:rsidP="006B0AFC">
      <w:pPr>
        <w:spacing w:after="0" w:line="240" w:lineRule="auto"/>
      </w:pPr>
      <w:r>
        <w:separator/>
      </w:r>
    </w:p>
  </w:footnote>
  <w:footnote w:type="continuationSeparator" w:id="0">
    <w:p w:rsidR="004B26B1" w:rsidRDefault="004B26B1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16" w:rsidRDefault="00FE4D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50C5D"/>
    <w:rsid w:val="00067AC2"/>
    <w:rsid w:val="000E4932"/>
    <w:rsid w:val="00133E77"/>
    <w:rsid w:val="00144756"/>
    <w:rsid w:val="0016299E"/>
    <w:rsid w:val="001761CE"/>
    <w:rsid w:val="00201421"/>
    <w:rsid w:val="0027316F"/>
    <w:rsid w:val="00283A65"/>
    <w:rsid w:val="00355CC3"/>
    <w:rsid w:val="003630DB"/>
    <w:rsid w:val="003A737C"/>
    <w:rsid w:val="003E4392"/>
    <w:rsid w:val="0045426F"/>
    <w:rsid w:val="00471F20"/>
    <w:rsid w:val="004A12DC"/>
    <w:rsid w:val="004B26B1"/>
    <w:rsid w:val="005728FE"/>
    <w:rsid w:val="005777C6"/>
    <w:rsid w:val="005D7B1C"/>
    <w:rsid w:val="005E203E"/>
    <w:rsid w:val="0060232D"/>
    <w:rsid w:val="00606840"/>
    <w:rsid w:val="00641A24"/>
    <w:rsid w:val="006575F4"/>
    <w:rsid w:val="006B0AFC"/>
    <w:rsid w:val="006F19DC"/>
    <w:rsid w:val="007129EA"/>
    <w:rsid w:val="00752FCA"/>
    <w:rsid w:val="00767348"/>
    <w:rsid w:val="007C456A"/>
    <w:rsid w:val="008C10C3"/>
    <w:rsid w:val="008D084C"/>
    <w:rsid w:val="008F2BDD"/>
    <w:rsid w:val="00A15DA5"/>
    <w:rsid w:val="00A227B4"/>
    <w:rsid w:val="00A366C2"/>
    <w:rsid w:val="00A96111"/>
    <w:rsid w:val="00AA72AC"/>
    <w:rsid w:val="00B068A3"/>
    <w:rsid w:val="00B35305"/>
    <w:rsid w:val="00B5055D"/>
    <w:rsid w:val="00BB702E"/>
    <w:rsid w:val="00C00D6B"/>
    <w:rsid w:val="00C371B2"/>
    <w:rsid w:val="00C62B39"/>
    <w:rsid w:val="00CF5EED"/>
    <w:rsid w:val="00CF7E75"/>
    <w:rsid w:val="00D37980"/>
    <w:rsid w:val="00D45EDD"/>
    <w:rsid w:val="00DA582E"/>
    <w:rsid w:val="00E3231B"/>
    <w:rsid w:val="00E623B5"/>
    <w:rsid w:val="00E645CF"/>
    <w:rsid w:val="00E71C9D"/>
    <w:rsid w:val="00EB0CEF"/>
    <w:rsid w:val="00F006D1"/>
    <w:rsid w:val="00F325B8"/>
    <w:rsid w:val="00F33BD9"/>
    <w:rsid w:val="00F375A6"/>
    <w:rsid w:val="00F50488"/>
    <w:rsid w:val="00F9731D"/>
    <w:rsid w:val="00FB0EEC"/>
    <w:rsid w:val="00FC2B71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E836-D530-469D-9C5E-69CFC3E7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Ольга С. Померанцева</cp:lastModifiedBy>
  <cp:revision>5</cp:revision>
  <cp:lastPrinted>2018-07-23T06:25:00Z</cp:lastPrinted>
  <dcterms:created xsi:type="dcterms:W3CDTF">2018-08-08T12:11:00Z</dcterms:created>
  <dcterms:modified xsi:type="dcterms:W3CDTF">2018-08-24T07:32:00Z</dcterms:modified>
</cp:coreProperties>
</file>