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D80B6C" w:rsidRPr="004A10FC" w:rsidRDefault="004C05FA" w:rsidP="000335FC">
      <w:pPr>
        <w:pStyle w:val="aff2"/>
        <w:spacing w:before="0" w:after="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0335FC" w:rsidRPr="000335FC">
        <w:rPr>
          <w:sz w:val="22"/>
          <w:szCs w:val="22"/>
        </w:rPr>
        <w:t>Выполнение работ по изготовлению для лиц, пострадавших в результате несчастных случаев на производстве и профессиональных заболеваний, протезов нижних конечностей (протезы бедра модульного типа)</w:t>
      </w: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B5F23">
        <w:tc>
          <w:tcPr>
            <w:tcW w:w="39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04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6626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 *</w:t>
            </w:r>
          </w:p>
        </w:tc>
        <w:tc>
          <w:tcPr>
            <w:tcW w:w="99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A83ECC" w:rsidRPr="004A10F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параметров Получателя.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облицовка:</w:t>
            </w:r>
            <w:r w:rsidRPr="002E3FE2">
              <w:rPr>
                <w:sz w:val="22"/>
                <w:szCs w:val="22"/>
              </w:rPr>
              <w:t xml:space="preserve"> формообразующая часть – листовой поролон.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оболочка:</w:t>
            </w:r>
            <w:r w:rsidRPr="002E3FE2">
              <w:rPr>
                <w:sz w:val="22"/>
                <w:szCs w:val="22"/>
              </w:rPr>
              <w:t xml:space="preserve"> покрытие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силоновые</w:t>
            </w:r>
            <w:proofErr w:type="spellEnd"/>
            <w:r w:rsidRPr="002E3FE2">
              <w:rPr>
                <w:sz w:val="22"/>
                <w:szCs w:val="22"/>
              </w:rPr>
              <w:t xml:space="preserve">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</w:t>
            </w:r>
            <w:r w:rsidRPr="002E3FE2">
              <w:rPr>
                <w:sz w:val="22"/>
                <w:szCs w:val="22"/>
              </w:rPr>
              <w:t xml:space="preserve">: индивидуальная, изготовленная по индивидуальному слепку с культи Получателя.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Количество приемных гильз - 1,  пробных гильз – 1. Материал приемной (постоянной) гильзы: литьевой слоистый пластик на основе акриловых </w:t>
            </w:r>
            <w:proofErr w:type="spellStart"/>
            <w:r w:rsidRPr="002E3FE2">
              <w:rPr>
                <w:sz w:val="22"/>
                <w:szCs w:val="22"/>
              </w:rPr>
              <w:t>смол</w:t>
            </w:r>
            <w:proofErr w:type="gramStart"/>
            <w:r w:rsidRPr="002E3FE2">
              <w:rPr>
                <w:sz w:val="22"/>
                <w:szCs w:val="22"/>
              </w:rPr>
              <w:t>.Б</w:t>
            </w:r>
            <w:proofErr w:type="gramEnd"/>
            <w:r w:rsidRPr="002E3FE2">
              <w:rPr>
                <w:sz w:val="22"/>
                <w:szCs w:val="22"/>
              </w:rPr>
              <w:t>ез</w:t>
            </w:r>
            <w:proofErr w:type="spellEnd"/>
            <w:r w:rsidRPr="002E3FE2">
              <w:rPr>
                <w:sz w:val="22"/>
                <w:szCs w:val="22"/>
              </w:rPr>
              <w:t xml:space="preserve"> вкладной гильзы. </w:t>
            </w:r>
          </w:p>
          <w:p w:rsidR="00A83ECC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Крепление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 w:rsidRPr="002E3FE2">
              <w:rPr>
                <w:kern w:val="24"/>
                <w:sz w:val="22"/>
                <w:szCs w:val="22"/>
              </w:rPr>
              <w:t xml:space="preserve">при помощи пояса кожаного с использованием </w:t>
            </w:r>
            <w:r>
              <w:rPr>
                <w:sz w:val="22"/>
                <w:szCs w:val="22"/>
              </w:rPr>
              <w:t>кожаных полуфабрикатов или с использованием бандажа.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</w:t>
            </w:r>
            <w:r w:rsidRPr="002E3FE2">
              <w:rPr>
                <w:sz w:val="22"/>
                <w:szCs w:val="22"/>
              </w:rPr>
              <w:t>: должны соответствовать весу Получателя.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</w:t>
            </w:r>
            <w:r w:rsidRPr="002E3FE2">
              <w:rPr>
                <w:sz w:val="22"/>
                <w:szCs w:val="22"/>
              </w:rPr>
              <w:t xml:space="preserve">: стопа с голеностопным шарниром, подвижным в сагиттальной плоскости, со сменным пяточным амортизатором.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с ручным замком одноосный.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протеза:</w:t>
            </w:r>
            <w:r w:rsidRPr="002E3FE2">
              <w:rPr>
                <w:sz w:val="22"/>
                <w:szCs w:val="22"/>
              </w:rPr>
              <w:t xml:space="preserve"> постоянный. </w:t>
            </w:r>
          </w:p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</w:t>
            </w:r>
            <w:r w:rsidRPr="002E3FE2">
              <w:rPr>
                <w:sz w:val="22"/>
                <w:szCs w:val="22"/>
              </w:rPr>
              <w:t>:**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A83ECC" w:rsidRPr="004A10F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  <w:highlight w:val="red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Cs/>
                <w:sz w:val="22"/>
                <w:szCs w:val="22"/>
                <w:highlight w:val="red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 литьевой слоистый пластик на основе акриловых смол. Без вкладной  гильзы.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CA6FAF">
              <w:rPr>
                <w:i/>
                <w:sz w:val="22"/>
                <w:szCs w:val="22"/>
              </w:rPr>
              <w:t>Метод крепления протеза</w:t>
            </w:r>
            <w:r w:rsidRPr="00CA6FAF">
              <w:rPr>
                <w:sz w:val="22"/>
                <w:szCs w:val="22"/>
              </w:rPr>
              <w:t>: при помощи пояса кожаного с использованием кожаных полуфабрикатов или 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подвижная во всех вертикальных плоскостях 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коленный шарнир полицентрический с независимым пневматическим </w:t>
            </w:r>
            <w:r w:rsidRPr="002E3FE2">
              <w:rPr>
                <w:sz w:val="22"/>
                <w:szCs w:val="22"/>
              </w:rPr>
              <w:lastRenderedPageBreak/>
              <w:t>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lastRenderedPageBreak/>
              <w:t>3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8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акриловых смол. Без вкладной  гильзы. 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 w:rsidR="00D61C5B">
              <w:rPr>
                <w:kern w:val="24"/>
                <w:sz w:val="22"/>
                <w:szCs w:val="22"/>
              </w:rPr>
              <w:t>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подвижная во всех вертикальных плоскостях 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одноосный с механизмом торможения,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252EAE" w:rsidRDefault="00A83ECC" w:rsidP="006A6D2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акриловых смол. Без вкладной  гильзы.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 с использованием бандажа.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821D28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 стопа подвижная во всех вертикальных плоскостях </w:t>
            </w:r>
            <w:r w:rsidRPr="00821D28">
              <w:rPr>
                <w:sz w:val="22"/>
                <w:szCs w:val="22"/>
              </w:rPr>
              <w:t>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821D28">
              <w:rPr>
                <w:i/>
                <w:sz w:val="22"/>
                <w:szCs w:val="22"/>
              </w:rPr>
              <w:t>Коленный шарнир:</w:t>
            </w:r>
            <w:r w:rsidRPr="00821D28">
              <w:rPr>
                <w:sz w:val="22"/>
                <w:szCs w:val="22"/>
              </w:rPr>
              <w:t xml:space="preserve"> полицентрический с «геометрическим замком»</w:t>
            </w:r>
            <w:r w:rsidRPr="002E3FE2">
              <w:rPr>
                <w:sz w:val="22"/>
                <w:szCs w:val="22"/>
              </w:rPr>
              <w:t xml:space="preserve"> независимым гидравлическим регулированием фаз сгибания-разгибания, с замком,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упругим подгибанием.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E85F6C" w:rsidRDefault="00A83ECC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5F6C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 xml:space="preserve">Выполнение работ по изготовлению </w:t>
            </w:r>
            <w:r w:rsidRPr="002E3FE2">
              <w:rPr>
                <w:bCs/>
                <w:sz w:val="22"/>
                <w:szCs w:val="22"/>
              </w:rPr>
              <w:lastRenderedPageBreak/>
              <w:t>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lastRenderedPageBreak/>
              <w:t xml:space="preserve">Протез бедра модульного типа должен быть индивидуального изготовления в зависимости от </w:t>
            </w:r>
            <w:r w:rsidRPr="002E3FE2">
              <w:rPr>
                <w:sz w:val="22"/>
                <w:szCs w:val="22"/>
              </w:rPr>
              <w:lastRenderedPageBreak/>
              <w:t xml:space="preserve">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 xml:space="preserve">Приемная гильза: </w:t>
            </w:r>
            <w:r w:rsidRPr="002E3FE2">
              <w:rPr>
                <w:sz w:val="22"/>
                <w:szCs w:val="22"/>
              </w:rPr>
              <w:t xml:space="preserve">индивидуальная, изготовленная по индивидуальному слепку с культи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Количество приемных гильз - 1,  пробных гильз – 1. Материал приемной гильзы: литьевой слоистый пластик на основе акриловых смол. Без вкладной  гильзы. </w:t>
            </w:r>
          </w:p>
          <w:p w:rsidR="00A83ECC" w:rsidRPr="00A72D3A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 </w:t>
            </w:r>
            <w:r w:rsidRPr="00A72D3A">
              <w:rPr>
                <w:kern w:val="24"/>
                <w:sz w:val="22"/>
                <w:szCs w:val="22"/>
              </w:rPr>
              <w:t xml:space="preserve">при помощи пояса кожаного с использованием </w:t>
            </w:r>
            <w:r w:rsidRPr="00A72D3A">
              <w:rPr>
                <w:sz w:val="22"/>
                <w:szCs w:val="22"/>
              </w:rPr>
              <w:t>кожаных полуфабрикатов или 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8C0EB1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8C0EB1">
              <w:rPr>
                <w:sz w:val="22"/>
                <w:szCs w:val="22"/>
              </w:rPr>
              <w:t xml:space="preserve"> должны соответствовать весу Получателя.</w:t>
            </w:r>
            <w:r w:rsidRPr="002E3FE2">
              <w:rPr>
                <w:sz w:val="22"/>
                <w:szCs w:val="22"/>
              </w:rPr>
              <w:t xml:space="preserve">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 стопа с голеностопным шарниром, подвижным в </w:t>
            </w:r>
            <w:proofErr w:type="spellStart"/>
            <w:r w:rsidRPr="002E3FE2">
              <w:rPr>
                <w:sz w:val="22"/>
                <w:szCs w:val="22"/>
              </w:rPr>
              <w:t>саггитальной</w:t>
            </w:r>
            <w:proofErr w:type="spellEnd"/>
            <w:r w:rsidRPr="002E3FE2">
              <w:rPr>
                <w:sz w:val="22"/>
                <w:szCs w:val="22"/>
              </w:rPr>
              <w:t xml:space="preserve"> плоскости, со сменным пяточным амортизатором.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коленный шарнир одноосный с механизмом торможения,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>Тазобедренный шарнир: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E85F6C" w:rsidRDefault="00A83ECC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5F6C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4A10FC" w:rsidRDefault="00A83ECC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4A10FC" w:rsidRDefault="00A83ECC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</w:tr>
    </w:tbl>
    <w:p w:rsidR="00A83ECC" w:rsidRDefault="00A83ECC" w:rsidP="00A83ECC">
      <w:pPr>
        <w:suppressAutoHyphens w:val="0"/>
        <w:jc w:val="both"/>
        <w:rPr>
          <w:i/>
          <w:sz w:val="22"/>
          <w:szCs w:val="22"/>
        </w:rPr>
      </w:pPr>
      <w:r w:rsidRPr="00A83ECC">
        <w:rPr>
          <w:rFonts w:eastAsia="Andale Sans UI"/>
          <w:i/>
          <w:kern w:val="2"/>
          <w:sz w:val="22"/>
          <w:szCs w:val="22"/>
          <w:lang w:eastAsia="fa-IR" w:bidi="fa-IR"/>
        </w:rPr>
        <w:t xml:space="preserve">             </w:t>
      </w:r>
      <w:r w:rsidRPr="00D61569">
        <w:rPr>
          <w:rFonts w:eastAsia="Andale Sans UI"/>
          <w:b/>
          <w:i/>
          <w:kern w:val="2"/>
          <w:sz w:val="22"/>
          <w:szCs w:val="22"/>
          <w:lang w:eastAsia="fa-IR" w:bidi="fa-IR"/>
        </w:rPr>
        <w:t>*</w:t>
      </w:r>
      <w:r w:rsidRPr="00D61569">
        <w:rPr>
          <w:b/>
          <w:i/>
          <w:sz w:val="22"/>
          <w:szCs w:val="22"/>
        </w:rPr>
        <w:t xml:space="preserve"> </w:t>
      </w:r>
      <w:r w:rsidRPr="00D61569">
        <w:rPr>
          <w:i/>
          <w:sz w:val="22"/>
          <w:szCs w:val="22"/>
        </w:rPr>
        <w:t xml:space="preserve">употребление союза «или» в техническом задании предполагает, что участник закупки обязан обеспечить возможность изготовления протеза с использованием всех составляющих и материалов протеза, исходя из индивидуальных особенностей Получателей. </w:t>
      </w:r>
    </w:p>
    <w:p w:rsidR="006B537F" w:rsidRPr="00AE5D57" w:rsidRDefault="006B537F" w:rsidP="006B537F">
      <w:pPr>
        <w:suppressAutoHyphens w:val="0"/>
        <w:ind w:right="-450" w:firstLine="567"/>
        <w:jc w:val="both"/>
        <w:rPr>
          <w:rFonts w:eastAsia="Andale Sans UI"/>
          <w:i/>
          <w:color w:val="auto"/>
          <w:kern w:val="2"/>
          <w:sz w:val="22"/>
          <w:szCs w:val="22"/>
          <w:lang w:eastAsia="fa-IR" w:bidi="fa-IR"/>
        </w:rPr>
      </w:pPr>
      <w:r w:rsidRPr="003B5834">
        <w:rPr>
          <w:rFonts w:eastAsia="Andale Sans UI"/>
          <w:b/>
          <w:i/>
          <w:color w:val="auto"/>
          <w:kern w:val="2"/>
          <w:sz w:val="22"/>
          <w:szCs w:val="22"/>
          <w:lang w:eastAsia="fa-IR" w:bidi="fa-IR"/>
        </w:rPr>
        <w:t>*</w:t>
      </w:r>
      <w:r w:rsidR="00AE59F0">
        <w:rPr>
          <w:rFonts w:eastAsia="Andale Sans UI"/>
          <w:b/>
          <w:i/>
          <w:color w:val="auto"/>
          <w:kern w:val="2"/>
          <w:sz w:val="22"/>
          <w:szCs w:val="22"/>
          <w:lang w:eastAsia="fa-IR" w:bidi="fa-IR"/>
        </w:rPr>
        <w:t xml:space="preserve">* </w:t>
      </w:r>
      <w:r w:rsidRPr="003B5834">
        <w:rPr>
          <w:rFonts w:eastAsia="Andale Sans UI"/>
          <w:i/>
          <w:color w:val="auto"/>
          <w:kern w:val="2"/>
          <w:sz w:val="22"/>
          <w:szCs w:val="22"/>
          <w:lang w:eastAsia="fa-IR" w:bidi="fa-IR"/>
        </w:rPr>
        <w:t>Число чехлов на культю пользователя (трикотажных, шерстяных, силиконовых, гелиевых), а также косметических чулок устанавливают в ТУ на протез конкретного типа; вид чехлов на культю пользователя определяют в  соответствии с индивидуальными потребностями Получателей.</w:t>
      </w:r>
    </w:p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>них конечностей классифицированы в соответствии с требованиями Национального стандарта Российской Федерации ГОСТ Р ИСО 9999 – 2014 «Вспомогательные средства для людей с ограничениями жизнедеятельности. Классификация и терминология»,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протезов нижних конечностей соответствуют требованиям Национального стандарта Российской Федерации 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Изготовленные протезы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должны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Р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устойчивы к воздействию агрессивных биологических жидкостей (пота).          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Конструкция протезов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Срок службы протезов исчисляется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не может быть менее срока пользования протезно-ортопедическими изделиями установленному  приказом Министерства труда и социальной защиты Российской Федерации от 24.05.2013г. №215н «Об утверждении сроков пользования  техническими средствами реабилитации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протезами и протезно-ортопедическими изделиями до их замены».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 нижних конечностей </w:t>
      </w:r>
      <w:r w:rsidR="00034EA5">
        <w:rPr>
          <w:rFonts w:eastAsia="Andale Sans UI"/>
          <w:kern w:val="2"/>
          <w:sz w:val="22"/>
          <w:szCs w:val="22"/>
          <w:lang w:eastAsia="fa-IR" w:bidi="fa-IR"/>
        </w:rPr>
        <w:t>должен</w:t>
      </w:r>
      <w:r w:rsidR="00D0436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быть </w:t>
      </w:r>
      <w:proofErr w:type="spellStart"/>
      <w:r w:rsidR="009638B5">
        <w:rPr>
          <w:rFonts w:eastAsia="Andale Sans UI"/>
          <w:kern w:val="2"/>
          <w:sz w:val="22"/>
          <w:szCs w:val="22"/>
          <w:lang w:eastAsia="fa-IR" w:bidi="fa-IR"/>
        </w:rPr>
        <w:t>ремонтопригодным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в течение срока службы.</w:t>
      </w:r>
    </w:p>
    <w:p w:rsidR="009638B5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средств в период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Гарантийный срок на изготовленные протезы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не менее 7 (семи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) месяцев</w:t>
      </w:r>
      <w:r>
        <w:rPr>
          <w:rFonts w:eastAsia="Andale Sans UI"/>
          <w:kern w:val="2"/>
          <w:sz w:val="22"/>
          <w:szCs w:val="22"/>
          <w:lang w:eastAsia="fa-IR" w:bidi="fa-IR"/>
        </w:rPr>
        <w:t>.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</w:p>
    <w:p w:rsidR="00E25392" w:rsidRPr="00E25392" w:rsidRDefault="00D61569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 xml:space="preserve">          </w:t>
      </w:r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ED2DA7" w:rsidRPr="00ED2DA7"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Р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стандарт(ы)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816089" w:rsidRPr="00816089" w:rsidRDefault="00816089" w:rsidP="00ED2DA7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 необходимости, на этикетке прив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</w:t>
      </w:r>
      <w:r w:rsidR="00871315">
        <w:rPr>
          <w:rFonts w:eastAsia="Andale Sans UI"/>
          <w:kern w:val="2"/>
          <w:sz w:val="22"/>
          <w:szCs w:val="22"/>
          <w:lang w:eastAsia="fa-IR" w:bidi="fa-IR"/>
        </w:rPr>
        <w:t>ниях соответствующих параметров.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Данные на этикетке не зависят от специальной информации изготовителя по назначенному применению протезных и ортопедических устройств.</w:t>
      </w:r>
    </w:p>
    <w:p w:rsidR="00ED2DA7" w:rsidRPr="002C424B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C424B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Упаковка протезов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обеспечивать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защиту от повреждений, порчи (изнашивания) или загрязнения во время хранения,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быть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>экологически безопасная, имеет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0335FC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0335FC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Челябинская область, г. Челябинск </w:t>
      </w:r>
      <w:r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 </w:t>
      </w:r>
      <w:r w:rsidRPr="000335FC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Датой окончания выполнения работ является дата подписания Подрядчиком и Получателем Акта сдачи-приемки выполненных работ.</w:t>
      </w:r>
    </w:p>
    <w:p w:rsidR="00E67179" w:rsidRDefault="00816089" w:rsidP="00892CEA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F17F50"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96" w:rsidRDefault="009D6096">
      <w:r>
        <w:separator/>
      </w:r>
    </w:p>
  </w:endnote>
  <w:endnote w:type="continuationSeparator" w:id="0">
    <w:p w:rsidR="009D6096" w:rsidRDefault="009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FD" w:rsidRDefault="00C87FFD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0335FC">
      <w:rPr>
        <w:noProof/>
      </w:rPr>
      <w:t>5</w:t>
    </w:r>
    <w:r>
      <w:fldChar w:fldCharType="end"/>
    </w:r>
  </w:p>
  <w:p w:rsidR="00C87FFD" w:rsidRDefault="00C87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96" w:rsidRDefault="009D6096">
      <w:r>
        <w:separator/>
      </w:r>
    </w:p>
  </w:footnote>
  <w:footnote w:type="continuationSeparator" w:id="0">
    <w:p w:rsidR="009D6096" w:rsidRDefault="009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005F1B"/>
    <w:rsid w:val="0001284C"/>
    <w:rsid w:val="00015B15"/>
    <w:rsid w:val="00016E91"/>
    <w:rsid w:val="000335FC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2387F"/>
    <w:rsid w:val="00125E0A"/>
    <w:rsid w:val="00127225"/>
    <w:rsid w:val="00132E80"/>
    <w:rsid w:val="00134B6F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90406"/>
    <w:rsid w:val="005A288F"/>
    <w:rsid w:val="005B3493"/>
    <w:rsid w:val="005B690B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6089"/>
    <w:rsid w:val="00816F19"/>
    <w:rsid w:val="0082605E"/>
    <w:rsid w:val="00841D8C"/>
    <w:rsid w:val="00843D46"/>
    <w:rsid w:val="00857AF4"/>
    <w:rsid w:val="00871315"/>
    <w:rsid w:val="008817CD"/>
    <w:rsid w:val="00892CEA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123BA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60ED8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74A6-B797-4D3A-BF7D-6555416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Сидельникова Марина Павловна</dc:creator>
  <cp:lastModifiedBy>Савула Андрей Юрьевич</cp:lastModifiedBy>
  <cp:revision>3</cp:revision>
  <cp:lastPrinted>2018-02-07T07:17:00Z</cp:lastPrinted>
  <dcterms:created xsi:type="dcterms:W3CDTF">2018-09-14T08:36:00Z</dcterms:created>
  <dcterms:modified xsi:type="dcterms:W3CDTF">2018-09-14T08:45:00Z</dcterms:modified>
</cp:coreProperties>
</file>