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84" w:rsidRDefault="00D41984" w:rsidP="00D41984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D41984" w:rsidRDefault="00D41984" w:rsidP="00D41984">
      <w:pPr>
        <w:ind w:right="51"/>
        <w:rPr>
          <w:color w:val="000000"/>
          <w:sz w:val="18"/>
        </w:rPr>
      </w:pPr>
    </w:p>
    <w:p w:rsidR="00D41984" w:rsidRDefault="00D41984" w:rsidP="00D41984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 w:rsidRPr="00E71938">
        <w:rPr>
          <w:sz w:val="18"/>
          <w:szCs w:val="18"/>
        </w:rPr>
        <w:t>травматологии и ортопедии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D41984" w:rsidRDefault="00D41984" w:rsidP="00D41984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D41984" w:rsidRDefault="00D41984" w:rsidP="00D41984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D41984" w:rsidRDefault="00D41984" w:rsidP="00D41984">
      <w:pPr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D41984" w:rsidRDefault="00D41984" w:rsidP="00D41984">
      <w:pPr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227/№ 208.</w:t>
      </w:r>
    </w:p>
    <w:p w:rsidR="00D41984" w:rsidRDefault="00D41984" w:rsidP="00D41984">
      <w:pPr>
        <w:ind w:firstLine="540"/>
        <w:jc w:val="center"/>
      </w:pPr>
      <w:r>
        <w:rPr>
          <w:sz w:val="18"/>
        </w:rPr>
        <w:t>Класс болезней XIII: болезни костно-мышечной системы и соединительной ткани.</w:t>
      </w:r>
      <w:r>
        <w:t xml:space="preserve">  </w:t>
      </w:r>
    </w:p>
    <w:p w:rsidR="00D41984" w:rsidRDefault="00D41984" w:rsidP="00D41984">
      <w:pPr>
        <w:spacing w:after="288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1"/>
        <w:gridCol w:w="1049"/>
        <w:gridCol w:w="785"/>
      </w:tblGrid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ind w:left="141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2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2" w:lineRule="exact"/>
              <w:ind w:right="172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194" w:lineRule="exact"/>
              <w:ind w:right="196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9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2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врача-ортопеда первичный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2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врача-ортопеда повторный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2" w:lineRule="exact"/>
              <w:ind w:right="554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9" w:lineRule="exact"/>
              <w:ind w:right="31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С-реактивного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белка в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ревматоидных факторов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мочевой кислоты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0, 02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2" w:lineRule="exact"/>
              <w:ind w:right="5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9/8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Грязевые ванны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8/10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(2 - 4-камерные)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0, 05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9" w:lineRule="exact"/>
              <w:ind w:right="18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Воздействие парафином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16" w:lineRule="exact"/>
              <w:ind w:right="655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2" w:lineRule="exact"/>
              <w:ind w:right="958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9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8/10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9" w:lineRule="exact"/>
              <w:ind w:right="194"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2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костной патологии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2" w:lineRule="exact"/>
              <w:ind w:right="36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2" w:lineRule="exact"/>
              <w:ind w:right="9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электромагнитными полям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и(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индуктотермия)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2" w:lineRule="exact"/>
              <w:ind w:right="55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16" w:lineRule="exact"/>
              <w:ind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9" w:lineRule="exact"/>
              <w:ind w:right="5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Мануальная 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5/8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0,8/0,3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9/8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Механотерапия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9" w:lineRule="exact"/>
              <w:ind w:right="56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и травмах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9" w:lineRule="exact"/>
              <w:ind w:right="569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18</w:t>
            </w:r>
          </w:p>
        </w:tc>
      </w:tr>
      <w:tr w:rsidR="00D41984" w:rsidTr="008A0B01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spacing w:line="209" w:lineRule="exact"/>
              <w:ind w:right="18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заболевании суставов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84" w:rsidRDefault="00D41984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1</w:t>
            </w:r>
          </w:p>
        </w:tc>
      </w:tr>
    </w:tbl>
    <w:p w:rsidR="00D41984" w:rsidRDefault="00D41984" w:rsidP="00D41984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</w:p>
    <w:p w:rsidR="00D41984" w:rsidRDefault="00D41984" w:rsidP="00D41984">
      <w:pPr>
        <w:shd w:val="clear" w:color="auto" w:fill="FFFFFF"/>
        <w:ind w:right="-54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</w:t>
      </w:r>
      <w:r>
        <w:rPr>
          <w:sz w:val="18"/>
        </w:rPr>
        <w:t>лечение из расчета 21 день</w:t>
      </w:r>
    </w:p>
    <w:p w:rsidR="00D41984" w:rsidRDefault="00D41984" w:rsidP="00D41984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D41984" w:rsidRDefault="00D41984" w:rsidP="00D41984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D41984" w:rsidRDefault="00D41984" w:rsidP="00D41984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D41984" w:rsidRDefault="00D41984" w:rsidP="00D41984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01.08.2018, выезд не позднее 31.10.2018,</w:t>
      </w:r>
    </w:p>
    <w:p w:rsidR="00D41984" w:rsidRDefault="00D41984" w:rsidP="00D41984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01.12.2018;</w:t>
      </w:r>
    </w:p>
    <w:p w:rsidR="00D41984" w:rsidRDefault="00D41984" w:rsidP="00D41984">
      <w:pPr>
        <w:pStyle w:val="22"/>
        <w:ind w:left="0" w:right="76"/>
        <w:rPr>
          <w:szCs w:val="20"/>
        </w:rPr>
      </w:pPr>
      <w:r>
        <w:t xml:space="preserve">-  </w:t>
      </w:r>
      <w:r>
        <w:rPr>
          <w:szCs w:val="20"/>
        </w:rPr>
        <w:t>размещение граждан и сопровождающих их лиц должно осуществляться в благоустроенных номерах с размещением не более 2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D41984" w:rsidRDefault="00D41984" w:rsidP="00D41984">
      <w:pPr>
        <w:ind w:right="76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D41984" w:rsidRDefault="00D41984" w:rsidP="00D41984">
      <w:pPr>
        <w:pStyle w:val="22"/>
        <w:ind w:left="0" w:right="76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D41984" w:rsidRDefault="00D41984" w:rsidP="00D41984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D41984" w:rsidRDefault="00D41984" w:rsidP="00D41984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D41984" w:rsidRDefault="00D41984" w:rsidP="00D41984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D41984" w:rsidRDefault="00D41984" w:rsidP="00D41984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D41984" w:rsidRDefault="00D41984" w:rsidP="00D41984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D41984" w:rsidRDefault="00D41984" w:rsidP="00D41984">
      <w:pPr>
        <w:pStyle w:val="22"/>
        <w:ind w:left="0" w:right="76"/>
      </w:pPr>
      <w:r>
        <w:t>- организация досуга;</w:t>
      </w:r>
    </w:p>
    <w:p w:rsidR="00D41984" w:rsidRDefault="00D41984" w:rsidP="00D41984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D41984" w:rsidRDefault="00D41984" w:rsidP="00D41984">
      <w:pPr>
        <w:pStyle w:val="22"/>
        <w:ind w:left="0" w:right="76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Pr="00D41984" w:rsidRDefault="00D41984" w:rsidP="00D41984">
      <w:pPr>
        <w:rPr>
          <w:sz w:val="18"/>
          <w:szCs w:val="22"/>
        </w:rPr>
      </w:pPr>
      <w:r w:rsidRPr="00D41984">
        <w:rPr>
          <w:sz w:val="18"/>
          <w:szCs w:val="22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</w:t>
      </w:r>
      <w:bookmarkStart w:id="0" w:name="_GoBack"/>
      <w:bookmarkEnd w:id="0"/>
      <w:r w:rsidRPr="00D41984">
        <w:rPr>
          <w:sz w:val="18"/>
          <w:szCs w:val="22"/>
        </w:rPr>
        <w:t>воохранения Российской Федерации.</w:t>
      </w:r>
    </w:p>
    <w:sectPr w:rsidR="00BC1357" w:rsidRPr="00D4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84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1984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41984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D41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41984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D41984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D41984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41984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D41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41984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D41984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D41984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2018-03-20T03:32:00Z</dcterms:created>
  <dcterms:modified xsi:type="dcterms:W3CDTF">2018-03-20T03:32:00Z</dcterms:modified>
</cp:coreProperties>
</file>