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8" w:rsidRDefault="006B05A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FF5098" w:rsidRDefault="006B05AE">
      <w:pPr>
        <w:pStyle w:val="Textbody"/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Автомобиль с обычным управлением – 4  шт.</w:t>
      </w:r>
    </w:p>
    <w:p w:rsidR="00FF5098" w:rsidRDefault="006B05AE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Требования к техническим </w:t>
      </w:r>
      <w:r>
        <w:rPr>
          <w:rFonts w:ascii="Times New Roman" w:hAnsi="Times New Roman"/>
          <w:sz w:val="26"/>
          <w:szCs w:val="26"/>
        </w:rPr>
        <w:t>характеристикам товара: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787"/>
        <w:gridCol w:w="4672"/>
      </w:tblGrid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или седан или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 не менее 4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класс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5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4*2/передние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Расположение двигателя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переднее поперечное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двигателя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четырехтактный, бензиновый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коробки передач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автоматическим управлением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Двигатель внутреннего сгорания (рабочий объем), см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1600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 15 Приложения № 3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ТС 018/2011</w:t>
            </w:r>
          </w:p>
        </w:tc>
      </w:tr>
    </w:tbl>
    <w:p w:rsidR="00FF5098" w:rsidRDefault="00FF5098">
      <w:pPr>
        <w:pStyle w:val="Textbody"/>
        <w:spacing w:after="0" w:line="240" w:lineRule="auto"/>
        <w:jc w:val="both"/>
      </w:pPr>
    </w:p>
    <w:p w:rsidR="00FF5098" w:rsidRDefault="006B05AE">
      <w:pPr>
        <w:pStyle w:val="Textbody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>Автомобили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адаптированными органами управления, предназначенные для лиц с ограниченными физическими возможностями – 6 шт.</w:t>
      </w:r>
    </w:p>
    <w:p w:rsidR="00FF5098" w:rsidRDefault="006B05AE">
      <w:pPr>
        <w:pStyle w:val="Textbody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техническим </w:t>
      </w:r>
      <w:r>
        <w:rPr>
          <w:rFonts w:ascii="Times New Roman" w:hAnsi="Times New Roman"/>
          <w:sz w:val="26"/>
          <w:szCs w:val="26"/>
        </w:rPr>
        <w:t>характеристикам товара: 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4829"/>
        <w:gridCol w:w="4119"/>
      </w:tblGrid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Седан или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 не менее 4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класс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5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4*2/передние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Расположение двигателя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переднее поперечное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двигателя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четырехтактный, бензиновый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коробки передач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автоматическим управлением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Двигатель внутреннего сгорания (рабочий объем), см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1600</w:t>
            </w:r>
          </w:p>
        </w:tc>
      </w:tr>
      <w:tr w:rsidR="00FF5098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98" w:rsidRDefault="006B05AE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 15 Приложения № 3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ТС 018/2011</w:t>
            </w:r>
          </w:p>
        </w:tc>
      </w:tr>
    </w:tbl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6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Fonts w:ascii="Times New Roman" w:hAnsi="Times New Roman"/>
          <w:sz w:val="26"/>
        </w:rPr>
        <w:t>ОК</w:t>
      </w:r>
      <w:proofErr w:type="gramEnd"/>
      <w:r>
        <w:rPr>
          <w:rFonts w:ascii="Times New Roman" w:hAnsi="Times New Roman"/>
          <w:sz w:val="26"/>
        </w:rPr>
        <w:t xml:space="preserve"> 005-93, поименованному в перечне медицинских товаров, </w:t>
      </w:r>
      <w:r>
        <w:rPr>
          <w:rFonts w:ascii="Times New Roman" w:hAnsi="Times New Roman"/>
          <w:sz w:val="26"/>
        </w:rPr>
        <w:t>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</w:t>
      </w:r>
      <w:r>
        <w:rPr>
          <w:rFonts w:ascii="Times New Roman" w:hAnsi="Times New Roman"/>
          <w:sz w:val="26"/>
        </w:rPr>
        <w:t>становлением Правительства Российской Федерации от 30.09.2015 года № 1042.</w:t>
      </w:r>
    </w:p>
    <w:p w:rsidR="00FF5098" w:rsidRDefault="006B05AE">
      <w:pPr>
        <w:pStyle w:val="Textbody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proofErr w:type="gramStart"/>
      <w:r>
        <w:rPr>
          <w:rFonts w:ascii="Times New Roman" w:hAnsi="Times New Roman"/>
          <w:sz w:val="26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</w:t>
      </w:r>
      <w:r>
        <w:rPr>
          <w:rFonts w:ascii="Times New Roman" w:hAnsi="Times New Roman"/>
          <w:sz w:val="26"/>
        </w:rPr>
        <w:t>льными средствами управления (адаптированными органами управления).</w:t>
      </w:r>
      <w:proofErr w:type="gramEnd"/>
    </w:p>
    <w:p w:rsidR="00FF5098" w:rsidRDefault="006B05AE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 Специальные средства управления (адаптированны</w:t>
      </w:r>
      <w:r>
        <w:rPr>
          <w:rFonts w:ascii="Times New Roman" w:hAnsi="Times New Roman"/>
          <w:sz w:val="26"/>
        </w:rPr>
        <w:t>е органы управления) должны иметь сертификат соответствия или сертифицированы в составе автомобиля.</w:t>
      </w:r>
    </w:p>
    <w:p w:rsidR="00FF5098" w:rsidRDefault="006B05AE">
      <w:pPr>
        <w:pStyle w:val="Textbody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proofErr w:type="gramStart"/>
      <w:r>
        <w:rPr>
          <w:rFonts w:ascii="Times New Roman" w:hAnsi="Times New Roman"/>
          <w:sz w:val="26"/>
        </w:rPr>
        <w:t>Цена на автомобили включает в себя все расходы Поставщика по исполнению Контракта, в том числе на транспортировку, хранение и предпродажную подгото</w:t>
      </w:r>
      <w:r>
        <w:rPr>
          <w:rFonts w:ascii="Times New Roman" w:hAnsi="Times New Roman"/>
          <w:sz w:val="26"/>
        </w:rPr>
        <w:t>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</w:t>
      </w:r>
      <w:r>
        <w:rPr>
          <w:rFonts w:ascii="Times New Roman" w:hAnsi="Times New Roman"/>
          <w:sz w:val="26"/>
        </w:rPr>
        <w:t>язи с исполнением обязательств в рамках контракта в соответствии</w:t>
      </w:r>
      <w:proofErr w:type="gramEnd"/>
      <w:r>
        <w:rPr>
          <w:rFonts w:ascii="Times New Roman" w:hAnsi="Times New Roman"/>
          <w:sz w:val="26"/>
        </w:rPr>
        <w:t xml:space="preserve"> с действующим законодательством Российской Федерации.</w:t>
      </w:r>
    </w:p>
    <w:p w:rsidR="00FF5098" w:rsidRDefault="006B05AE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Автомобили должны быть легковыми, новыми, ранее не бывшими в эксплуатации. Комплект документов на автомобили должны находиться вн</w:t>
      </w:r>
      <w:r>
        <w:rPr>
          <w:rFonts w:ascii="Times New Roman" w:hAnsi="Times New Roman"/>
          <w:sz w:val="26"/>
          <w:szCs w:val="26"/>
        </w:rPr>
        <w:t>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>Требования к сроку и объему предоставления гарантий на товар</w:t>
      </w:r>
      <w:r>
        <w:rPr>
          <w:rFonts w:ascii="Times New Roman" w:hAnsi="Times New Roman"/>
          <w:sz w:val="24"/>
          <w:szCs w:val="24"/>
        </w:rPr>
        <w:t>:</w:t>
      </w:r>
    </w:p>
    <w:p w:rsidR="00FF5098" w:rsidRDefault="00FF5098">
      <w:pPr>
        <w:pStyle w:val="Textbody"/>
        <w:spacing w:after="0" w:line="240" w:lineRule="auto"/>
        <w:jc w:val="both"/>
      </w:pP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6"/>
        </w:rPr>
        <w:t xml:space="preserve">Гарантия на </w:t>
      </w:r>
      <w:r>
        <w:rPr>
          <w:rFonts w:ascii="Times New Roman" w:hAnsi="Times New Roman"/>
          <w:sz w:val="26"/>
        </w:rPr>
        <w:t xml:space="preserve">автомобиль должна составлять не менее 36 месяцев или не менее 100 ООО </w:t>
      </w:r>
      <w:proofErr w:type="gramStart"/>
      <w:r>
        <w:rPr>
          <w:rFonts w:ascii="Times New Roman" w:hAnsi="Times New Roman"/>
          <w:sz w:val="26"/>
        </w:rPr>
        <w:t>км</w:t>
      </w:r>
      <w:proofErr w:type="gramEnd"/>
      <w:r>
        <w:rPr>
          <w:rFonts w:ascii="Times New Roman" w:hAnsi="Times New Roman"/>
          <w:sz w:val="26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    В соответствии с Сервисной книжкой на Товар, а также на отдельные его комплекту</w:t>
      </w:r>
      <w:r>
        <w:rPr>
          <w:rFonts w:ascii="Times New Roman" w:hAnsi="Times New Roman"/>
          <w:sz w:val="26"/>
        </w:rPr>
        <w:t>ющие изделия и элементы может устанавливаться гарантия в пределах 12 (двенадцати) месяцев вне зависимости от пробега.</w:t>
      </w:r>
    </w:p>
    <w:p w:rsidR="00FF5098" w:rsidRDefault="006B05AE">
      <w:pPr>
        <w:pStyle w:val="Textbody"/>
        <w:spacing w:after="0" w:line="240" w:lineRule="auto"/>
        <w:ind w:right="11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Гарантия на дополнительное оборудование, устанавливаемое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Поставщиком и передаваемое им по заявке Заказчика вместе с Товаром, должна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соста</w:t>
      </w:r>
      <w:r>
        <w:rPr>
          <w:rFonts w:ascii="Times New Roman" w:hAnsi="Times New Roman"/>
          <w:sz w:val="26"/>
        </w:rPr>
        <w:t>влять не менее 6 (шести) месяцев, если иное не указано Поставщиком или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lastRenderedPageBreak/>
        <w:t>изготовителем дополнительного оборудования в передаваемых Заказчику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документах на такое оборудование.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     Условия и порядок гарантийного обслуживания Товара указаны в Сервисной книжке,</w:t>
      </w:r>
      <w:r>
        <w:rPr>
          <w:rFonts w:ascii="Times New Roman" w:hAnsi="Times New Roman"/>
          <w:sz w:val="26"/>
        </w:rPr>
        <w:t xml:space="preserve"> выдаваемой Заказчику </w:t>
      </w:r>
      <w:proofErr w:type="gramStart"/>
      <w:r>
        <w:rPr>
          <w:rFonts w:ascii="Times New Roman" w:hAnsi="Times New Roman"/>
          <w:sz w:val="26"/>
        </w:rPr>
        <w:t>при</w:t>
      </w:r>
      <w:proofErr w:type="gramEnd"/>
      <w:r>
        <w:rPr>
          <w:rFonts w:ascii="Times New Roman" w:hAnsi="Times New Roman"/>
          <w:sz w:val="26"/>
        </w:rPr>
        <w:t xml:space="preserve"> фактической передачи Товара.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    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</w:t>
      </w:r>
      <w:r>
        <w:rPr>
          <w:rFonts w:ascii="Times New Roman" w:hAnsi="Times New Roman"/>
          <w:sz w:val="26"/>
        </w:rPr>
        <w:t>номоченного представителя Поставщика.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      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едостатки, обнаруженные в Товаре, подлежат устранению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Поставщиком либо иным официальным дилером в течение 30 (тридцати) рабочих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дней с даты предъявления Получателем соответствующего письменного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требования и передачи Товара Поставщику, либо иному официально</w:t>
      </w:r>
      <w:r>
        <w:rPr>
          <w:rFonts w:ascii="Times New Roman" w:hAnsi="Times New Roman"/>
          <w:sz w:val="26"/>
        </w:rPr>
        <w:t>му дилеру для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выполнения работ, если более продолжительный срок устранения недостатков не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будет связан с заказом и доставкой необходимых для гарантийного ремонта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запасных частей и иных комплектующих.</w:t>
      </w:r>
      <w:proofErr w:type="gramEnd"/>
      <w:r>
        <w:rPr>
          <w:rFonts w:ascii="Times New Roman" w:hAnsi="Times New Roman"/>
          <w:sz w:val="26"/>
        </w:rPr>
        <w:t xml:space="preserve"> В этом случае срок устранения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недостатков продлевается н</w:t>
      </w:r>
      <w:r>
        <w:rPr>
          <w:rFonts w:ascii="Times New Roman" w:hAnsi="Times New Roman"/>
          <w:sz w:val="26"/>
        </w:rPr>
        <w:t>а срок доставки заказанных запасных частей и иных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комплектующих Поставщику, либо иному официальному дилеру, в который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обратился Получатель для выполнения работ.</w:t>
      </w:r>
      <w:r>
        <w:rPr>
          <w:rFonts w:ascii="Times New Roman" w:hAnsi="Times New Roman"/>
        </w:rPr>
        <w:t> </w:t>
      </w:r>
    </w:p>
    <w:p w:rsidR="00FF5098" w:rsidRDefault="006B05AE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Требования к качеству товара: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ab/>
        <w:t>Условия перевозки Товара должны полностью обеспечивать п</w:t>
      </w:r>
      <w:r>
        <w:rPr>
          <w:rFonts w:ascii="Times New Roman" w:hAnsi="Times New Roman"/>
          <w:sz w:val="26"/>
        </w:rPr>
        <w:t>олную его сохранность от всякого рода повреждений при транспортировке.</w:t>
      </w:r>
    </w:p>
    <w:p w:rsidR="00FF5098" w:rsidRDefault="006B05A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</w:rPr>
        <w:tab/>
        <w:t xml:space="preserve">Качество и маркировка Товара должны соответствовать требованиям </w:t>
      </w:r>
      <w:r>
        <w:rPr>
          <w:rFonts w:ascii="Times New Roman" w:hAnsi="Times New Roman"/>
          <w:sz w:val="26"/>
          <w:lang w:val="en-US"/>
        </w:rPr>
        <w:t>TP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 xml:space="preserve">ТС 018/2011. При поставке некачественного Товара Поставщик обязан </w:t>
      </w:r>
      <w:proofErr w:type="gramStart"/>
      <w:r>
        <w:rPr>
          <w:rFonts w:ascii="Times New Roman" w:hAnsi="Times New Roman"/>
          <w:sz w:val="26"/>
        </w:rPr>
        <w:t>заменить его на Товар</w:t>
      </w:r>
      <w:proofErr w:type="gramEnd"/>
      <w:r>
        <w:rPr>
          <w:rFonts w:ascii="Times New Roman" w:hAnsi="Times New Roman"/>
          <w:sz w:val="26"/>
        </w:rPr>
        <w:t xml:space="preserve"> надлежащего качества в течени</w:t>
      </w:r>
      <w:r>
        <w:rPr>
          <w:rFonts w:ascii="Times New Roman" w:hAnsi="Times New Roman"/>
          <w:sz w:val="26"/>
        </w:rPr>
        <w:t>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FF5098" w:rsidRDefault="00FF50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98" w:rsidRDefault="00FF50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98" w:rsidRDefault="00FF50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98" w:rsidRDefault="00FF50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98" w:rsidRDefault="00FF50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098">
      <w:pgSz w:w="11905" w:h="16837"/>
      <w:pgMar w:top="810" w:right="850" w:bottom="56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AE" w:rsidRDefault="006B05AE">
      <w:pPr>
        <w:spacing w:after="0" w:line="240" w:lineRule="auto"/>
      </w:pPr>
      <w:r>
        <w:separator/>
      </w:r>
    </w:p>
  </w:endnote>
  <w:endnote w:type="continuationSeparator" w:id="0">
    <w:p w:rsidR="006B05AE" w:rsidRDefault="006B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AE" w:rsidRDefault="006B0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05AE" w:rsidRDefault="006B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82B"/>
    <w:multiLevelType w:val="multilevel"/>
    <w:tmpl w:val="711CD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1A1FF6"/>
    <w:multiLevelType w:val="multilevel"/>
    <w:tmpl w:val="9D22B036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098"/>
    <w:rsid w:val="00571207"/>
    <w:rsid w:val="006B05AE"/>
    <w:rsid w:val="007B120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rFonts w:ascii="Arial" w:hAnsi="Arial"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  <w:sz w:val="24"/>
    </w:rPr>
  </w:style>
  <w:style w:type="paragraph" w:styleId="a7">
    <w:name w:val="Normal (Web)"/>
    <w:basedOn w:val="Standard"/>
  </w:style>
  <w:style w:type="paragraph" w:styleId="a8">
    <w:name w:val="List Paragraph"/>
    <w:basedOn w:val="Standard"/>
  </w:style>
  <w:style w:type="paragraph" w:styleId="a9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</w:style>
  <w:style w:type="character" w:customStyle="1" w:styleId="ListLabel1">
    <w:name w:val="ListLabel 1"/>
    <w:rPr>
      <w:i/>
    </w:rPr>
  </w:style>
  <w:style w:type="character" w:customStyle="1" w:styleId="NumberingSymbols">
    <w:name w:val="Numbering Symbols"/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rFonts w:ascii="Arial" w:hAnsi="Arial"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  <w:sz w:val="24"/>
    </w:rPr>
  </w:style>
  <w:style w:type="paragraph" w:styleId="a7">
    <w:name w:val="Normal (Web)"/>
    <w:basedOn w:val="Standard"/>
  </w:style>
  <w:style w:type="paragraph" w:styleId="a8">
    <w:name w:val="List Paragraph"/>
    <w:basedOn w:val="Standard"/>
  </w:style>
  <w:style w:type="paragraph" w:styleId="a9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</w:style>
  <w:style w:type="character" w:customStyle="1" w:styleId="ListLabel1">
    <w:name w:val="ListLabel 1"/>
    <w:rPr>
      <w:i/>
    </w:rPr>
  </w:style>
  <w:style w:type="character" w:customStyle="1" w:styleId="NumberingSymbols">
    <w:name w:val="Numbering Symbols"/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Селезенева</dc:creator>
  <cp:lastModifiedBy>Примечание</cp:lastModifiedBy>
  <cp:revision>2</cp:revision>
  <cp:lastPrinted>2018-04-02T04:49:00Z</cp:lastPrinted>
  <dcterms:created xsi:type="dcterms:W3CDTF">2018-04-28T09:24:00Z</dcterms:created>
  <dcterms:modified xsi:type="dcterms:W3CDTF">2018-04-28T09:24:00Z</dcterms:modified>
</cp:coreProperties>
</file>