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B" w:rsidRPr="004843EE" w:rsidRDefault="001F5BFB" w:rsidP="001F5BFB">
      <w:pPr>
        <w:jc w:val="center"/>
      </w:pPr>
      <w:r w:rsidRPr="004843EE">
        <w:t>Поставка цифровых сигнализаторов звука с вибрационной и световой индикацией для плохо слышащих и глухих инвалидов Краснодарского края в 2018 году.</w:t>
      </w:r>
    </w:p>
    <w:p w:rsidR="001F5BFB" w:rsidRPr="004843EE" w:rsidRDefault="001F5BFB" w:rsidP="001F5BFB"/>
    <w:tbl>
      <w:tblPr>
        <w:tblW w:w="0" w:type="auto"/>
        <w:tblLook w:val="0000" w:firstRow="0" w:lastRow="0" w:firstColumn="0" w:lastColumn="0" w:noHBand="0" w:noVBand="0"/>
      </w:tblPr>
      <w:tblGrid>
        <w:gridCol w:w="1652"/>
        <w:gridCol w:w="4594"/>
        <w:gridCol w:w="670"/>
        <w:gridCol w:w="1011"/>
        <w:gridCol w:w="1408"/>
      </w:tblGrid>
      <w:tr w:rsidR="001F5BFB" w:rsidRPr="004843EE" w:rsidTr="008744BF">
        <w:trPr>
          <w:trHeight w:val="96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BFB" w:rsidRPr="004843EE" w:rsidRDefault="001F5BFB" w:rsidP="008744BF">
            <w:r w:rsidRPr="004843EE">
              <w:t>Наименование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BFB" w:rsidRPr="004843EE" w:rsidRDefault="001F5BFB" w:rsidP="008744BF">
            <w:r w:rsidRPr="004843EE"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BFB" w:rsidRPr="004843EE" w:rsidRDefault="001F5BFB" w:rsidP="008744BF">
            <w:r w:rsidRPr="004843EE">
              <w:t>Кол-во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BFB" w:rsidRPr="004843EE" w:rsidRDefault="001F5BFB" w:rsidP="008744BF">
            <w:r>
              <w:t xml:space="preserve">Цена </w:t>
            </w:r>
            <w:r w:rsidRPr="004843EE">
              <w:t>за ед./</w:t>
            </w:r>
            <w:proofErr w:type="spellStart"/>
            <w:r w:rsidRPr="004843EE">
              <w:t>руб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BFB" w:rsidRPr="004843EE" w:rsidRDefault="001F5BFB" w:rsidP="008744BF">
            <w:r w:rsidRPr="004843EE">
              <w:t>Сумма (руб.)</w:t>
            </w:r>
          </w:p>
        </w:tc>
      </w:tr>
      <w:tr w:rsidR="001F5BFB" w:rsidRPr="004843EE" w:rsidTr="008744BF">
        <w:trPr>
          <w:trHeight w:val="55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t xml:space="preserve">Цифровой сигнализатор звука с вибрационной и световой индикацией (комплектация </w:t>
            </w:r>
          </w:p>
          <w:p w:rsidR="001F5BFB" w:rsidRPr="004843EE" w:rsidRDefault="001F5BFB" w:rsidP="008744BF">
            <w:r w:rsidRPr="004843EE">
              <w:t>№1)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4616" w:type="dxa"/>
              <w:tblLook w:val="0000" w:firstRow="0" w:lastRow="0" w:firstColumn="0" w:lastColumn="0" w:noHBand="0" w:noVBand="0"/>
            </w:tblPr>
            <w:tblGrid>
              <w:gridCol w:w="4616"/>
            </w:tblGrid>
            <w:tr w:rsidR="001F5BFB" w:rsidRPr="004843EE" w:rsidTr="008744BF">
              <w:trPr>
                <w:trHeight w:val="1406"/>
              </w:trPr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BFB" w:rsidRPr="00770E65" w:rsidRDefault="001F5BFB" w:rsidP="008744BF">
                  <w:pPr>
                    <w:jc w:val="both"/>
                  </w:pPr>
                  <w:r w:rsidRPr="00770E65">
                    <w:t xml:space="preserve">Сигнализатор цифровой с вибрационной и световой индикацией для </w:t>
                  </w:r>
                  <w:proofErr w:type="spellStart"/>
                  <w:r w:rsidRPr="00770E65">
                    <w:t>плохослышащих</w:t>
                  </w:r>
                  <w:proofErr w:type="spellEnd"/>
                  <w:r w:rsidRPr="00770E65">
                    <w:t xml:space="preserve"> и глухих должен быть предназначен для информирования людей с нарушением слуха о наличии звуковых сигналов домофона, дверного звонка и телефонного звонка.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Сигнализирующие устройство должно быть беспроводное по конструкции.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Цифровой вибрационно-световой индикатор должен привлекать внимание пользователя с помощью: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-вибрации корпуса наручного приемника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-светодиодной индикацией наручного приемника;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-индикацией рабочего состояния наручного приемника;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-светодиодной индикацией на корпусе передатчиков сигнала телефона, домофона, дверного звонка о поступающих на передатчики сигналах.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Цифровой наручный приемник со светодиодной индикацией должен служить для приема сигналов домофона, дверного звонка, телефонного звонка. Корпус наручного приемника должен быть выполнен в форм-факторе наручных часов. Должен иметь кнопку включения/сброса со светодиодной индикацией. При включенном приемнике, кнопка включения должна подавать яркие периодические световые импульсы (индикатор рабочего состояния) различимые в дневное время суток. Для каждого бытового сигнала должны иметься специальные иконки с пиктограммой. При входящем сигнале на наручный приемник, должны загораться яркими вспышками хорошо различимыми в дневное время суток индивидуальные пиктограммы для каждого вида сигнала, сопровождающиеся индивидуальным тактильным рисунком вибрации для каждого типа сигнала.  Наручный приемник должен быть оснащен </w:t>
                  </w:r>
                  <w:r w:rsidRPr="004843EE">
                    <w:lastRenderedPageBreak/>
                    <w:t xml:space="preserve">эластичным ремешком для ношения на руке.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Вес наручного приемника должен составлять не более 24 г.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Габаритные размеры наручного приемника должны быть не более </w:t>
                  </w:r>
                  <w:proofErr w:type="spellStart"/>
                  <w:r w:rsidRPr="004843EE">
                    <w:t>ШхВхГ</w:t>
                  </w:r>
                  <w:proofErr w:type="spellEnd"/>
                  <w:r w:rsidRPr="004843EE">
                    <w:t xml:space="preserve"> 52х32х15 мм.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Цифровые передатчики должны служить для передачи информации о входном сигнале дверного звонка, домофона, телефона на наручный приемник. Для каждого бытового сигнала должен быть предусмотрен отдельный передатчик – передатчик дверного звонка, передатчик телефонного звонка, передатчик звонка домофона. В передатчиках должны быть уста</w:t>
                  </w:r>
                  <w:r>
                    <w:t xml:space="preserve">новлены электрические датчики, </w:t>
                  </w:r>
                  <w:r w:rsidRPr="004843EE">
                    <w:t xml:space="preserve">что исключает возможность ложного срабатывания. Передатчики должны подключаться проводным способом к источнику сигнала с помощью модульных разъемов и клемм. Все передатчики должны быть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должны быть защищены интеллектуальной электронной системой от ложного срабатывания при случайном нажатии. 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Вес передатчика дверного звонка, телефонного звонка и звонка домофона должен быть не более 30 г.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Габаритные размеры передатчика дверного звонка, телефонного звонка и звонка домофона должны быть не более </w:t>
                  </w:r>
                  <w:proofErr w:type="spellStart"/>
                  <w:r w:rsidRPr="004843EE">
                    <w:t>ШхВхГ</w:t>
                  </w:r>
                  <w:proofErr w:type="spellEnd"/>
                  <w:r w:rsidRPr="004843EE">
                    <w:t xml:space="preserve"> 70х40х20 мм;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Связь между передатчиком и приемником должна быть беспроводной. Все необходимые аксессуары (батарейки, держатели) должны входить в комплект поставки.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Радиус устойчивого приема сигнала должен быть: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 в условиях прямой видимости не менее 30 м.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lastRenderedPageBreak/>
                    <w:t>Несущая частота передатчика – должна быть частота, разрешенная для использования на территории Российской Федерации.</w:t>
                  </w:r>
                </w:p>
              </w:tc>
            </w:tr>
          </w:tbl>
          <w:p w:rsidR="001F5BFB" w:rsidRPr="004843EE" w:rsidRDefault="001F5BFB" w:rsidP="008744BF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lastRenderedPageBreak/>
              <w:t xml:space="preserve"> 106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t>6 520,88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t>691 213,28</w:t>
            </w:r>
          </w:p>
        </w:tc>
      </w:tr>
      <w:tr w:rsidR="001F5BFB" w:rsidRPr="004843EE" w:rsidTr="008744BF">
        <w:trPr>
          <w:trHeight w:val="154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lastRenderedPageBreak/>
              <w:t xml:space="preserve">Цифровой сигнализатор звука с вибрационной и световой индикацией (комплектация </w:t>
            </w:r>
          </w:p>
          <w:p w:rsidR="001F5BFB" w:rsidRPr="004843EE" w:rsidRDefault="001F5BFB" w:rsidP="008744BF">
            <w:r w:rsidRPr="004843EE">
              <w:t>№2)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78"/>
            </w:tblGrid>
            <w:tr w:rsidR="001F5BFB" w:rsidRPr="004843EE" w:rsidTr="008744BF">
              <w:trPr>
                <w:trHeight w:val="2112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BFB" w:rsidRPr="004843EE" w:rsidRDefault="001F5BFB" w:rsidP="008744BF">
                  <w:pPr>
                    <w:jc w:val="both"/>
                  </w:pPr>
                  <w:r>
                    <w:t xml:space="preserve">Сигнализатор цифровой </w:t>
                  </w:r>
                  <w:r w:rsidRPr="004843EE">
                    <w:t>с вибрационной и светов</w:t>
                  </w:r>
                  <w:r>
                    <w:t xml:space="preserve">ой индикацией для </w:t>
                  </w:r>
                  <w:proofErr w:type="spellStart"/>
                  <w:r>
                    <w:t>плохослышащих</w:t>
                  </w:r>
                  <w:proofErr w:type="spellEnd"/>
                  <w:r w:rsidRPr="004843EE">
                    <w:t xml:space="preserve"> и глухих должен быть предназначен для информирования людей с нарушением слуха о наличии звуковых сигналов дверного звонка и телефонного звонка, плача ребенка, экстренного вызова (встроенная кнопка в передатчик плача ребенка).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Сигнализирующие устройство должно быть беспроводное по конструкции.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Цифровой вибрационно-световой индикатор должен привлекать внимание пользователя с помощью: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-вибрации корпуса наручного приемника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-светодиодной индикацией наручного приемника;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-индикацией рабочего состояния наручного приемника;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-светодиодной индикацией на корпусе передатчиков сигнала телефона, дверного звонка, плача ребенка, экстренного вызова о поступающих на передатчики сигналах.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Цифровой наручный приемник со светодиодной индикацией должен служить для приема сигналов дверного звонка, телефонного звонка, плача ребенка, экстренного вызова (встроенная кнопка в передатчик плача ребенка). Корпус наручного приемника должен быть выполнен в форм-факторе наручных часов. Должен иметь кнопку включения/сброса со светодиодной индикацией. При включенном приемнике, кнопка включения должна подавать яркие периодические световые импульсы (индикатор рабочего состояния) различимые в дневное время суток. Для кажд</w:t>
                  </w:r>
                  <w:r>
                    <w:t>ого бытового сигнала</w:t>
                  </w:r>
                  <w:r w:rsidRPr="004843EE">
                    <w:t xml:space="preserve"> должны иметься специальные иконки с пиктограммой. При входящем сигнале на наручный приемник, должны загораться яркими вспышками хорошо различимыми в дневное время суток индивидуальные пиктограммы для </w:t>
                  </w:r>
                  <w:r w:rsidRPr="004843EE">
                    <w:lastRenderedPageBreak/>
                    <w:t xml:space="preserve">каждого вида сигнала, сопровождающиеся индивидуальным тактильным рисунком вибрации для каждого типа сигнала.  Наручный приемник должен быть оснащен эластичным ремешком для ношения на руке.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Вес наручного приемника должен составлять не более 24 г.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Габаритные размеры наручного приемника должны быть не более </w:t>
                  </w:r>
                  <w:proofErr w:type="spellStart"/>
                  <w:r w:rsidRPr="004843EE">
                    <w:t>ШхВхГ</w:t>
                  </w:r>
                  <w:proofErr w:type="spellEnd"/>
                  <w:r w:rsidRPr="004843EE">
                    <w:t xml:space="preserve"> 52х32х15 мм.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Цифровые передатчики должны служить для передачи информации о в</w:t>
                  </w:r>
                  <w:r>
                    <w:t>ходном сигнале дверного звонка,</w:t>
                  </w:r>
                  <w:r w:rsidRPr="004843EE">
                    <w:t xml:space="preserve"> телефона на наручный приемник. Для каждого бытового сигнала должен быть предусмотрен отдельный передатчик – передатчик дверного звонка, передатчик телефонного звонка. В передатчиках должны быть установлены электрические</w:t>
                  </w:r>
                  <w:r>
                    <w:t xml:space="preserve"> датчики,</w:t>
                  </w:r>
                  <w:r w:rsidRPr="004843EE">
                    <w:t xml:space="preserve"> что исключает возможность ложного срабатывания. Передатчики должны подключаться проводным способом к источнику сигнала с помощью модульных разъемов и клемм. Все передатчики должны быть оснащены световым индикатором для дополнительного оповещения инвалида о поступающем сигнале, а также кнопками для тестирования работоспособности системы. Кнопки передатчиков должны быть защищены интеллектуальной электронной системой от ложного срабатывания при случайном нажатии. 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Вес передатчика дверного звонка, телефонного звонка должен быть не более 30 г.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Габаритные размеры передатчика дверного звонка, телефонного звонка должны быть не более </w:t>
                  </w:r>
                  <w:proofErr w:type="spellStart"/>
                  <w:r w:rsidRPr="004843EE">
                    <w:t>ШхВхГ</w:t>
                  </w:r>
                  <w:proofErr w:type="spellEnd"/>
                  <w:r w:rsidRPr="004843EE">
                    <w:t xml:space="preserve"> 70х40х20 мм;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Цифровой п</w:t>
                  </w:r>
                  <w:r>
                    <w:t xml:space="preserve">ередатчик плача ребенка должен </w:t>
                  </w:r>
                  <w:r w:rsidRPr="004843EE">
                    <w:t xml:space="preserve">служить для передачи информации о входном сигнале плача ребенка, экстренной кнопки вызова (встроенная кнопка в корпус передатчика) на наручный приемник.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В передатчике должна иметься функция включения и выключения микрофона с индикатором рабочего состояния. </w:t>
                  </w:r>
                  <w:r w:rsidRPr="004843EE">
                    <w:lastRenderedPageBreak/>
                    <w:t xml:space="preserve">Передатчик должен быть оснащен светодиодным индикатором для дополнительного оповещения инвалида о поступающем сигнале, а также кнопкой для тестирования работоспособности системы. Кнопка экстренного вызова должна быть защищена интеллектуальной электронной системой от ложного срабатывания при случайном нажатии.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Вес передатчика плача ребенка должен быть не более 35г.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 xml:space="preserve">Габаритные размеры передатчика плача ребенка должны быть </w:t>
                  </w:r>
                  <w:r>
                    <w:t xml:space="preserve">не более </w:t>
                  </w:r>
                  <w:proofErr w:type="spellStart"/>
                  <w:r w:rsidRPr="004843EE">
                    <w:t>ШхВхГ</w:t>
                  </w:r>
                  <w:proofErr w:type="spellEnd"/>
                  <w:r w:rsidRPr="004843EE">
                    <w:t xml:space="preserve"> 70х40х20 мм; 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Связь между передатчиком и приемником должна быть беспроводной. Все необходимые аксессуары (адаптеры, батарейки) дол</w:t>
                  </w:r>
                  <w:r>
                    <w:t>жны</w:t>
                  </w:r>
                  <w:r w:rsidRPr="004843EE">
                    <w:t xml:space="preserve"> входить в комплект поставки.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Радиус устойчивого приема сигнала должен быть: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- в условиях прямой видимости не менее 30 м.</w:t>
                  </w:r>
                </w:p>
                <w:p w:rsidR="001F5BFB" w:rsidRPr="004843EE" w:rsidRDefault="001F5BFB" w:rsidP="008744BF">
                  <w:pPr>
                    <w:jc w:val="both"/>
                  </w:pPr>
                  <w:r w:rsidRPr="004843EE">
                    <w:t>Несущая частота передатчика – должна быть частота, разрешенная для использования на территории Российской Федерации.</w:t>
                  </w:r>
                </w:p>
              </w:tc>
            </w:tr>
          </w:tbl>
          <w:p w:rsidR="001F5BFB" w:rsidRPr="004843EE" w:rsidRDefault="001F5BFB" w:rsidP="008744BF"/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lastRenderedPageBreak/>
              <w:t>334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t>6 911,47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4843EE" w:rsidRDefault="001F5BFB" w:rsidP="008744BF">
            <w:r w:rsidRPr="004843EE">
              <w:t>2 308 430,98</w:t>
            </w:r>
          </w:p>
        </w:tc>
      </w:tr>
      <w:tr w:rsidR="001F5BFB" w:rsidRPr="004843EE" w:rsidTr="008744BF">
        <w:trPr>
          <w:trHeight w:val="344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770E65" w:rsidRDefault="001F5BFB" w:rsidP="008744BF">
            <w:pPr>
              <w:rPr>
                <w:b/>
              </w:rPr>
            </w:pPr>
            <w:r w:rsidRPr="00770E65">
              <w:rPr>
                <w:b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BFB" w:rsidRPr="00770E65" w:rsidRDefault="001F5BFB" w:rsidP="008744BF">
            <w:pPr>
              <w:rPr>
                <w:b/>
              </w:rPr>
            </w:pPr>
            <w:r w:rsidRPr="00770E65">
              <w:rPr>
                <w:b/>
              </w:rPr>
              <w:t>440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BFB" w:rsidRPr="00770E65" w:rsidRDefault="001F5BFB" w:rsidP="008744B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BFB" w:rsidRPr="00770E65" w:rsidRDefault="001F5BFB" w:rsidP="008744BF">
            <w:pPr>
              <w:rPr>
                <w:b/>
              </w:rPr>
            </w:pPr>
            <w:r w:rsidRPr="00770E65">
              <w:rPr>
                <w:b/>
              </w:rPr>
              <w:t>2 999 644,26</w:t>
            </w:r>
          </w:p>
        </w:tc>
      </w:tr>
    </w:tbl>
    <w:p w:rsidR="001F5BFB" w:rsidRPr="004843EE" w:rsidRDefault="001F5BFB" w:rsidP="001F5BFB">
      <w:pPr>
        <w:jc w:val="both"/>
        <w:rPr>
          <w:rFonts w:eastAsia="Calibri"/>
        </w:rPr>
      </w:pPr>
      <w:r>
        <w:tab/>
      </w:r>
      <w:r w:rsidRPr="004843EE">
        <w:rPr>
          <w:rFonts w:eastAsia="Calibri"/>
        </w:rPr>
        <w:t>В соответствии с приказом Минтруда России от 24.05.2013 №215н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1F5BFB" w:rsidRPr="004843EE" w:rsidRDefault="001F5BFB" w:rsidP="001F5BFB">
      <w:pPr>
        <w:jc w:val="both"/>
      </w:pPr>
      <w:r w:rsidRPr="004843EE">
        <w:rPr>
          <w:rFonts w:eastAsia="Calibri"/>
        </w:rPr>
        <w:t>В этой связи, Поставщику необходимо указать в заявке срок службы Товара.</w:t>
      </w:r>
    </w:p>
    <w:p w:rsidR="001F5BFB" w:rsidRPr="004843EE" w:rsidRDefault="001F5BFB" w:rsidP="001F5BFB">
      <w:pPr>
        <w:jc w:val="both"/>
      </w:pPr>
      <w:r>
        <w:tab/>
      </w:r>
      <w:r w:rsidRPr="004843EE">
        <w:t xml:space="preserve">Гарантийный срок эксплуатации Товара должен составлять не менее 24 месяцев с момента получения Товара Получателем. Срок выполнения гарантийного ремонта со дня обращения Получателя не должен превышать 30 </w:t>
      </w:r>
      <w:r>
        <w:t xml:space="preserve">(Тридцати) </w:t>
      </w:r>
      <w:r w:rsidRPr="004843EE">
        <w:t>рабочих дней. Обязательно наличие гарантийных талонов, дающих право на бесплатный ремонт Товара во время гарантийного срока.</w:t>
      </w:r>
    </w:p>
    <w:p w:rsidR="001F5BFB" w:rsidRPr="004843EE" w:rsidRDefault="001F5BFB" w:rsidP="001F5BFB">
      <w:pPr>
        <w:jc w:val="both"/>
      </w:pPr>
      <w:r>
        <w:tab/>
      </w:r>
      <w:r w:rsidRPr="004843EE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1F5BFB" w:rsidRPr="004843EE" w:rsidRDefault="001F5BFB" w:rsidP="001F5BFB">
      <w:pPr>
        <w:jc w:val="both"/>
      </w:pPr>
      <w:r>
        <w:lastRenderedPageBreak/>
        <w:tab/>
      </w:r>
      <w:r w:rsidRPr="004843EE">
        <w:t>Обеспечение возможности ремонта, устранения недостатков при обеспечении Получателей товарами осуществляется в соответствии с Федеральным законом от 07.02.1992 №2300-1 «О защите прав потребителей».</w:t>
      </w:r>
    </w:p>
    <w:p w:rsidR="001F5BFB" w:rsidRPr="004843EE" w:rsidRDefault="001F5BFB" w:rsidP="001F5BFB">
      <w:pPr>
        <w:jc w:val="both"/>
      </w:pPr>
      <w:r>
        <w:rPr>
          <w:rFonts w:eastAsia="Calibri"/>
        </w:rPr>
        <w:tab/>
      </w:r>
      <w:r w:rsidRPr="004843EE">
        <w:rPr>
          <w:rFonts w:eastAsia="Calibri"/>
        </w:rPr>
        <w:t>Сигнализаторы звука цифровые должны соответствовать</w:t>
      </w:r>
      <w:r w:rsidRPr="004843EE">
        <w:t xml:space="preserve"> </w:t>
      </w:r>
      <w:r w:rsidRPr="004843EE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4843EE">
        <w:t xml:space="preserve"> ГОСТ Р ИСО 9999-2014 "Вспомогательные средства для людей с ограничениями жизнедеятельности. Классификация и терминология".</w:t>
      </w:r>
    </w:p>
    <w:p w:rsidR="001F5BFB" w:rsidRPr="004843EE" w:rsidRDefault="001F5BFB" w:rsidP="001F5BFB">
      <w:pPr>
        <w:jc w:val="both"/>
      </w:pPr>
      <w:r>
        <w:tab/>
      </w:r>
      <w:r w:rsidRPr="004843EE">
        <w:t>При поставке Товара должны быть представлены: сертификат соответствия и инструкция по применению изделия на русском языке. В техническом предложении должен быть указан товарный знак поставляемой продукции и страна происхождения Товара.</w:t>
      </w:r>
    </w:p>
    <w:p w:rsidR="001F5BFB" w:rsidRPr="004843EE" w:rsidRDefault="001F5BFB" w:rsidP="001F5BFB">
      <w:pPr>
        <w:jc w:val="both"/>
      </w:pPr>
      <w:r w:rsidRPr="004843EE">
        <w:rPr>
          <w:rFonts w:eastAsia="Calibri"/>
        </w:rPr>
        <w:t xml:space="preserve">  </w:t>
      </w:r>
      <w:r>
        <w:rPr>
          <w:rFonts w:eastAsia="Calibri"/>
        </w:rPr>
        <w:tab/>
      </w:r>
      <w:r w:rsidRPr="004843EE">
        <w:rPr>
          <w:rFonts w:eastAsia="Calibri"/>
        </w:rPr>
        <w:t xml:space="preserve">Соответствие требованиям к осуществлению проверки соответствия качества, количества </w:t>
      </w:r>
      <w:r w:rsidRPr="004843EE">
        <w:t xml:space="preserve">цифровых сигнализаторов звука с вибрационной и световой индикацией </w:t>
      </w:r>
      <w:r w:rsidRPr="004843EE">
        <w:rPr>
          <w:rFonts w:eastAsia="Calibri"/>
        </w:rPr>
        <w:t>требованиям Заказчика: в</w:t>
      </w:r>
      <w:r w:rsidRPr="004843EE">
        <w:t xml:space="preserve"> течение 7-ми рабочих дней после заключения контракта на складе поставщика, расположенного на территории Краснодарского края, должно быть не менее 80%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</w:t>
      </w:r>
    </w:p>
    <w:p w:rsidR="004536FC" w:rsidRDefault="004536FC">
      <w:bookmarkStart w:id="0" w:name="_GoBack"/>
      <w:bookmarkEnd w:id="0"/>
    </w:p>
    <w:sectPr w:rsidR="0045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B"/>
    <w:rsid w:val="001F5BFB"/>
    <w:rsid w:val="004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34A5-3B28-4FBD-9D89-D0E9EB7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Дубинина</dc:creator>
  <cp:keywords/>
  <dc:description/>
  <cp:lastModifiedBy>Татьяна Юрьевна Дубинина</cp:lastModifiedBy>
  <cp:revision>1</cp:revision>
  <dcterms:created xsi:type="dcterms:W3CDTF">2018-10-24T08:32:00Z</dcterms:created>
  <dcterms:modified xsi:type="dcterms:W3CDTF">2018-10-24T08:33:00Z</dcterms:modified>
</cp:coreProperties>
</file>