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7D" w:rsidRDefault="00502D7D" w:rsidP="00502D7D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0F7354" w:rsidRDefault="00502D7D" w:rsidP="000F7354">
      <w:pPr>
        <w:spacing w:line="200" w:lineRule="atLeast"/>
        <w:jc w:val="center"/>
      </w:pPr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hyperlink r:id="rId6" w:history="1">
        <w:r w:rsidR="000F7354">
          <w:rPr>
            <w:color w:val="0000FF"/>
            <w:u w:val="single"/>
          </w:rPr>
          <w:t>о</w:t>
        </w:r>
        <w:bookmarkStart w:id="0" w:name="_GoBack"/>
        <w:bookmarkEnd w:id="0"/>
        <w:r w:rsidR="000F7354" w:rsidRPr="000F7354">
          <w:rPr>
            <w:color w:val="0000FF"/>
            <w:u w:val="single"/>
          </w:rPr>
          <w:t xml:space="preserve">казание услуг по санаторно-курортному лечению граждан-получателей государственной социальной помощи в виде набора социальных услуг </w:t>
        </w:r>
      </w:hyperlink>
    </w:p>
    <w:p w:rsidR="00502D7D" w:rsidRDefault="00502D7D" w:rsidP="000F7354">
      <w:pPr>
        <w:spacing w:line="200" w:lineRule="atLeast"/>
        <w:jc w:val="center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 w:rsidRPr="003426E5"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</w:t>
      </w:r>
      <w:r>
        <w:rPr>
          <w:bCs/>
          <w:color w:val="000000"/>
          <w:sz w:val="26"/>
        </w:rPr>
        <w:t>.</w:t>
      </w:r>
    </w:p>
    <w:p w:rsidR="00502D7D" w:rsidRPr="00D74286" w:rsidRDefault="00502D7D" w:rsidP="00502D7D">
      <w:pPr>
        <w:tabs>
          <w:tab w:val="left" w:pos="851"/>
          <w:tab w:val="left" w:pos="1620"/>
        </w:tabs>
        <w:suppressAutoHyphens w:val="0"/>
        <w:snapToGrid w:val="0"/>
        <w:ind w:left="20"/>
        <w:jc w:val="both"/>
        <w:rPr>
          <w:color w:val="FF0000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           1.Срок оказания услуг: </w:t>
      </w:r>
      <w:r w:rsidRPr="00296E8C">
        <w:rPr>
          <w:bCs/>
          <w:color w:val="FF0000"/>
          <w:sz w:val="26"/>
          <w:szCs w:val="26"/>
        </w:rPr>
        <w:t>в</w:t>
      </w:r>
      <w:r w:rsidRPr="00DF4F9C">
        <w:rPr>
          <w:b/>
          <w:bCs/>
          <w:color w:val="FF0000"/>
          <w:sz w:val="26"/>
          <w:szCs w:val="26"/>
        </w:rPr>
        <w:t xml:space="preserve"> </w:t>
      </w:r>
      <w:r w:rsidRPr="00DF4F9C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2018 г.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, дата заездов не ранее 30 апреля 2018 и не позднее 05 июля 2018 г.</w:t>
      </w:r>
      <w:r w:rsidRPr="009A720E">
        <w:rPr>
          <w:rFonts w:eastAsia="Times New Roman CYR" w:cs="Times New Roman CYR"/>
          <w:iCs/>
          <w:color w:val="000000"/>
          <w:spacing w:val="-4"/>
          <w:sz w:val="26"/>
          <w:szCs w:val="26"/>
          <w:shd w:val="clear" w:color="auto" w:fill="FFFFFF"/>
        </w:rPr>
        <w:t xml:space="preserve"> </w:t>
      </w:r>
    </w:p>
    <w:p w:rsidR="00502D7D" w:rsidRDefault="00502D7D" w:rsidP="00502D7D">
      <w:pPr>
        <w:tabs>
          <w:tab w:val="left" w:pos="360"/>
          <w:tab w:val="left" w:pos="709"/>
        </w:tabs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ab/>
      </w: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ab/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502D7D" w:rsidRPr="001B3718" w:rsidRDefault="00502D7D" w:rsidP="00502D7D">
      <w:pPr>
        <w:pStyle w:val="a4"/>
        <w:tabs>
          <w:tab w:val="left" w:pos="709"/>
        </w:tabs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           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дней,</w:t>
      </w:r>
      <w:r w:rsidRPr="001B3718">
        <w:rPr>
          <w:color w:val="000000"/>
        </w:rPr>
        <w:t xml:space="preserve"> </w:t>
      </w:r>
      <w:r w:rsidRPr="001B3718">
        <w:rPr>
          <w:color w:val="000000"/>
          <w:sz w:val="26"/>
          <w:szCs w:val="26"/>
        </w:rPr>
        <w:t xml:space="preserve">для детей-инвалидов и сопровождающих их взрослых </w:t>
      </w:r>
      <w:r>
        <w:rPr>
          <w:color w:val="000000"/>
          <w:sz w:val="26"/>
          <w:szCs w:val="26"/>
        </w:rPr>
        <w:t xml:space="preserve">- </w:t>
      </w:r>
      <w:r w:rsidRPr="001B3718">
        <w:rPr>
          <w:color w:val="000000"/>
          <w:sz w:val="26"/>
          <w:szCs w:val="26"/>
        </w:rPr>
        <w:t>21 день</w:t>
      </w:r>
    </w:p>
    <w:p w:rsidR="00502D7D" w:rsidRPr="009A720E" w:rsidRDefault="00502D7D" w:rsidP="00502D7D">
      <w:pPr>
        <w:jc w:val="both"/>
        <w:rPr>
          <w:rFonts w:eastAsia="Arial"/>
          <w:iCs/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Количество закупаемых путевок: </w:t>
      </w:r>
      <w:r w:rsidRPr="001B3718">
        <w:rPr>
          <w:color w:val="FF0000"/>
          <w:sz w:val="26"/>
          <w:szCs w:val="26"/>
        </w:rPr>
        <w:t xml:space="preserve">90 </w:t>
      </w:r>
      <w:r w:rsidRPr="003F37A8">
        <w:rPr>
          <w:rFonts w:eastAsia="Times New Roman CYR"/>
          <w:iCs/>
          <w:color w:val="FF0000"/>
          <w:spacing w:val="-6"/>
          <w:sz w:val="26"/>
          <w:szCs w:val="26"/>
        </w:rPr>
        <w:t>шт</w:t>
      </w:r>
      <w:r w:rsidRPr="003F37A8">
        <w:rPr>
          <w:rFonts w:eastAsia="Times New Roman CYR"/>
          <w:iCs/>
          <w:color w:val="000000"/>
          <w:spacing w:val="-6"/>
          <w:sz w:val="26"/>
          <w:szCs w:val="26"/>
        </w:rPr>
        <w:t>.</w:t>
      </w:r>
      <w:r>
        <w:rPr>
          <w:rFonts w:eastAsia="Times New Roman CYR"/>
          <w:iCs/>
          <w:color w:val="000000"/>
          <w:spacing w:val="-6"/>
          <w:sz w:val="26"/>
          <w:szCs w:val="26"/>
        </w:rPr>
        <w:t>,</w:t>
      </w:r>
      <w:r w:rsidRPr="006442A6">
        <w:rPr>
          <w:rFonts w:eastAsia="Arial"/>
          <w:iCs/>
          <w:color w:val="FF0000"/>
          <w:spacing w:val="-6"/>
          <w:sz w:val="26"/>
          <w:szCs w:val="26"/>
        </w:rPr>
        <w:t xml:space="preserve"> </w:t>
      </w:r>
      <w:r w:rsidRPr="00656A83">
        <w:rPr>
          <w:rFonts w:eastAsia="Arial"/>
          <w:iCs/>
          <w:color w:val="FF0000"/>
          <w:spacing w:val="-6"/>
          <w:sz w:val="26"/>
          <w:szCs w:val="26"/>
        </w:rPr>
        <w:t>в том числе 10 шт. для детей-инвалидов, 10 шт. для сопровождающих.</w:t>
      </w:r>
    </w:p>
    <w:p w:rsidR="00502D7D" w:rsidRDefault="00502D7D" w:rsidP="00502D7D">
      <w:pPr>
        <w:numPr>
          <w:ilvl w:val="0"/>
          <w:numId w:val="1"/>
        </w:numPr>
        <w:snapToGrid w:val="0"/>
        <w:ind w:left="0" w:firstLine="567"/>
        <w:jc w:val="both"/>
        <w:rPr>
          <w:rFonts w:eastAsia="Times New Roman CYR"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 xml:space="preserve"> Начальная (максимальная) цена контракта</w:t>
      </w:r>
      <w:r w:rsidRPr="006365F9">
        <w:rPr>
          <w:color w:val="800000"/>
          <w:sz w:val="26"/>
          <w:szCs w:val="26"/>
        </w:rPr>
        <w:t>:</w:t>
      </w:r>
      <w:r>
        <w:rPr>
          <w:color w:val="800000"/>
          <w:sz w:val="26"/>
          <w:szCs w:val="26"/>
        </w:rPr>
        <w:t xml:space="preserve">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 xml:space="preserve">2 323 423 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>(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Два миллиона триста двадцать три тысячи четыреста двадцать три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>) рубл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я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20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копе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ек</w:t>
      </w:r>
      <w:r w:rsidRPr="002D6011">
        <w:rPr>
          <w:rFonts w:eastAsia="Times New Roman CYR"/>
          <w:iCs/>
          <w:color w:val="FF0000"/>
          <w:spacing w:val="-4"/>
          <w:sz w:val="26"/>
          <w:szCs w:val="26"/>
        </w:rPr>
        <w:t>.</w:t>
      </w:r>
    </w:p>
    <w:p w:rsidR="00502D7D" w:rsidRPr="00B8554A" w:rsidRDefault="00502D7D" w:rsidP="00502D7D">
      <w:pPr>
        <w:numPr>
          <w:ilvl w:val="0"/>
          <w:numId w:val="1"/>
        </w:numPr>
        <w:snapToGrid w:val="0"/>
        <w:ind w:left="0" w:firstLine="600"/>
        <w:jc w:val="both"/>
        <w:rPr>
          <w:rStyle w:val="a3"/>
          <w:rFonts w:eastAsia="Times New Roman CYR"/>
          <w:iCs/>
          <w:color w:val="FF0000"/>
          <w:spacing w:val="-4"/>
          <w:sz w:val="26"/>
          <w:szCs w:val="26"/>
        </w:rPr>
      </w:pPr>
      <w:r w:rsidRPr="00477802"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 w:rsidRPr="00477802"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</w:t>
      </w:r>
      <w:r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 xml:space="preserve"> учреждения Вологодской области.</w:t>
      </w:r>
    </w:p>
    <w:p w:rsidR="00502D7D" w:rsidRPr="00EB200B" w:rsidRDefault="00502D7D" w:rsidP="00502D7D">
      <w:pPr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 w:rsidRPr="00C17679"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 w:rsidRPr="00B7236E">
        <w:rPr>
          <w:bCs/>
          <w:color w:val="FF0000"/>
          <w:sz w:val="26"/>
        </w:rPr>
        <w:t xml:space="preserve"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 </w:t>
      </w:r>
      <w:r>
        <w:rPr>
          <w:bCs/>
          <w:color w:val="FF0000"/>
          <w:sz w:val="26"/>
        </w:rPr>
        <w:t>должны включать</w:t>
      </w:r>
      <w:r w:rsidRPr="00EB200B"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502D7D" w:rsidRDefault="00502D7D" w:rsidP="00502D7D">
      <w:pPr>
        <w:keepNext/>
        <w:keepLines/>
        <w:snapToGrid w:val="0"/>
        <w:spacing w:line="200" w:lineRule="atLeast"/>
        <w:ind w:left="709"/>
        <w:jc w:val="both"/>
        <w:rPr>
          <w:color w:val="000000"/>
          <w:sz w:val="26"/>
          <w:szCs w:val="26"/>
        </w:rPr>
      </w:pPr>
      <w:r>
        <w:rPr>
          <w:iCs/>
          <w:color w:val="000000"/>
          <w:spacing w:val="-4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502D7D" w:rsidRDefault="00502D7D" w:rsidP="00502D7D">
      <w:pPr>
        <w:pStyle w:val="a5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502D7D" w:rsidRDefault="00502D7D" w:rsidP="00502D7D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502D7D" w:rsidRDefault="00502D7D" w:rsidP="00502D7D">
      <w:pPr>
        <w:pStyle w:val="a5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502D7D" w:rsidRDefault="00502D7D" w:rsidP="00502D7D">
      <w:pPr>
        <w:pStyle w:val="a5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502D7D" w:rsidRDefault="00502D7D" w:rsidP="00502D7D">
      <w:pPr>
        <w:pStyle w:val="a5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502D7D" w:rsidRDefault="00502D7D" w:rsidP="00502D7D">
      <w:pPr>
        <w:pStyle w:val="a5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502D7D" w:rsidRDefault="00502D7D" w:rsidP="00502D7D">
      <w:pPr>
        <w:jc w:val="both"/>
        <w:rPr>
          <w:sz w:val="26"/>
          <w:szCs w:val="26"/>
        </w:rPr>
      </w:pPr>
      <w:r w:rsidRPr="002D4E7F">
        <w:rPr>
          <w:sz w:val="26"/>
          <w:szCs w:val="26"/>
        </w:rPr>
        <w:t xml:space="preserve">- </w:t>
      </w:r>
      <w:r>
        <w:rPr>
          <w:sz w:val="26"/>
          <w:szCs w:val="26"/>
        </w:rPr>
        <w:t>заболевания</w:t>
      </w:r>
      <w:r>
        <w:rPr>
          <w:color w:val="FF0000"/>
          <w:sz w:val="26"/>
          <w:szCs w:val="26"/>
        </w:rPr>
        <w:t xml:space="preserve"> эндокринной</w:t>
      </w:r>
      <w:r>
        <w:rPr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</w:t>
      </w:r>
      <w:r>
        <w:rPr>
          <w:sz w:val="26"/>
          <w:szCs w:val="26"/>
        </w:rPr>
        <w:lastRenderedPageBreak/>
        <w:t>РФ от 22 ноября 2004 г. № 220, № 223,224;</w:t>
      </w:r>
    </w:p>
    <w:p w:rsidR="00502D7D" w:rsidRPr="002D4E7F" w:rsidRDefault="00502D7D" w:rsidP="00502D7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заболевания </w:t>
      </w:r>
      <w:r>
        <w:rPr>
          <w:bCs/>
          <w:color w:val="FF0000"/>
          <w:sz w:val="26"/>
          <w:szCs w:val="26"/>
          <w:shd w:val="clear" w:color="auto" w:fill="FFFFFF"/>
        </w:rPr>
        <w:t>мочеполовой</w:t>
      </w:r>
      <w:r>
        <w:rPr>
          <w:bCs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502D7D" w:rsidRDefault="00502D7D" w:rsidP="00502D7D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502D7D" w:rsidRDefault="00502D7D" w:rsidP="00502D7D">
      <w:pPr>
        <w:keepNext/>
        <w:keepLines/>
        <w:widowControl/>
        <w:suppressAutoHyphens w:val="0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502D7D" w:rsidRDefault="00502D7D" w:rsidP="00502D7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02D7D" w:rsidRDefault="00502D7D" w:rsidP="00502D7D">
      <w:pPr>
        <w:pStyle w:val="Web"/>
        <w:spacing w:before="0"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502D7D" w:rsidRDefault="00502D7D" w:rsidP="00502D7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502D7D" w:rsidRDefault="00502D7D" w:rsidP="00502D7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502D7D" w:rsidRDefault="00502D7D" w:rsidP="00502D7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502D7D" w:rsidRDefault="00502D7D" w:rsidP="00502D7D">
      <w:pPr>
        <w:pStyle w:val="Web"/>
        <w:keepNext/>
        <w:keepLines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502D7D" w:rsidRDefault="00502D7D" w:rsidP="00502D7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502D7D" w:rsidRDefault="00502D7D" w:rsidP="00502D7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502D7D" w:rsidRDefault="00502D7D" w:rsidP="00502D7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502D7D" w:rsidRDefault="00502D7D" w:rsidP="00502D7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502D7D" w:rsidRDefault="00502D7D" w:rsidP="00502D7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24E60">
        <w:rPr>
          <w:rFonts w:ascii="Times New Roman" w:hAnsi="Times New Roman"/>
          <w:sz w:val="26"/>
          <w:szCs w:val="26"/>
        </w:rPr>
        <w:t xml:space="preserve"> </w:t>
      </w:r>
      <w:r w:rsidRPr="00075C15">
        <w:rPr>
          <w:rFonts w:ascii="Times New Roman" w:hAnsi="Times New Roman"/>
          <w:sz w:val="26"/>
          <w:szCs w:val="26"/>
        </w:rPr>
        <w:t>обеспечение возможности принимать водные процедуры в бассейне;</w:t>
      </w:r>
    </w:p>
    <w:p w:rsidR="00502D7D" w:rsidRDefault="00502D7D" w:rsidP="00502D7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24E60">
        <w:rPr>
          <w:rFonts w:ascii="Times New Roman" w:hAnsi="Times New Roman" w:cs="Times New Roman"/>
          <w:sz w:val="26"/>
          <w:szCs w:val="26"/>
        </w:rPr>
        <w:t xml:space="preserve"> </w:t>
      </w:r>
      <w:r w:rsidRPr="00975F89">
        <w:rPr>
          <w:rFonts w:ascii="Times New Roman" w:hAnsi="Times New Roman" w:cs="Times New Roman"/>
          <w:sz w:val="26"/>
          <w:szCs w:val="26"/>
        </w:rPr>
        <w:t xml:space="preserve">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 w:rsidRPr="00975F89"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2D7D" w:rsidRDefault="00502D7D" w:rsidP="00502D7D">
      <w:pPr>
        <w:pStyle w:val="a5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502D7D" w:rsidRDefault="00502D7D" w:rsidP="00502D7D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502D7D" w:rsidRDefault="00502D7D" w:rsidP="00502D7D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0F0CEC" w:rsidRDefault="000F0CEC"/>
    <w:sectPr w:rsidR="000F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2474"/>
    <w:multiLevelType w:val="hybridMultilevel"/>
    <w:tmpl w:val="2320C44C"/>
    <w:lvl w:ilvl="0" w:tplc="D1C02B3C">
      <w:start w:val="2"/>
      <w:numFmt w:val="decimal"/>
      <w:lvlText w:val="%1."/>
      <w:lvlJc w:val="left"/>
      <w:pPr>
        <w:ind w:left="960" w:hanging="360"/>
      </w:pPr>
      <w:rPr>
        <w:rFonts w:eastAsia="Lucida Sans Unicode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14"/>
    <w:rsid w:val="000F0CEC"/>
    <w:rsid w:val="000F7354"/>
    <w:rsid w:val="00502D7D"/>
    <w:rsid w:val="00990658"/>
    <w:rsid w:val="00E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2D7D"/>
    <w:rPr>
      <w:color w:val="0000FF"/>
      <w:u w:val="single"/>
    </w:rPr>
  </w:style>
  <w:style w:type="paragraph" w:customStyle="1" w:styleId="a4">
    <w:name w:val="Содержимое таблицы"/>
    <w:basedOn w:val="a"/>
    <w:rsid w:val="00502D7D"/>
    <w:pPr>
      <w:suppressLineNumbers/>
    </w:pPr>
  </w:style>
  <w:style w:type="paragraph" w:styleId="a5">
    <w:name w:val="Normal (Web)"/>
    <w:rsid w:val="00502D7D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502D7D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2D7D"/>
    <w:rPr>
      <w:color w:val="0000FF"/>
      <w:u w:val="single"/>
    </w:rPr>
  </w:style>
  <w:style w:type="paragraph" w:customStyle="1" w:styleId="a4">
    <w:name w:val="Содержимое таблицы"/>
    <w:basedOn w:val="a"/>
    <w:rsid w:val="00502D7D"/>
    <w:pPr>
      <w:suppressLineNumbers/>
    </w:pPr>
  </w:style>
  <w:style w:type="paragraph" w:styleId="a5">
    <w:name w:val="Normal (Web)"/>
    <w:rsid w:val="00502D7D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502D7D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.fss.ru/home/gu-vologodskoe-ro-fss-rf/1825495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УвароваЮБ</dc:creator>
  <cp:lastModifiedBy>УвароваЮБ</cp:lastModifiedBy>
  <cp:revision>2</cp:revision>
  <dcterms:created xsi:type="dcterms:W3CDTF">2018-08-31T08:28:00Z</dcterms:created>
  <dcterms:modified xsi:type="dcterms:W3CDTF">2018-08-31T08:28:00Z</dcterms:modified>
</cp:coreProperties>
</file>