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83" w:rsidRDefault="00960F83" w:rsidP="00960F83">
      <w:pPr>
        <w:pStyle w:val="a6"/>
        <w:rPr>
          <w:bCs/>
          <w:sz w:val="24"/>
          <w:szCs w:val="24"/>
          <w:lang w:eastAsia="en-US"/>
        </w:rPr>
      </w:pPr>
      <w:r>
        <w:rPr>
          <w:bCs/>
          <w:sz w:val="24"/>
          <w:szCs w:val="24"/>
          <w:lang w:eastAsia="en-US"/>
        </w:rPr>
        <w:t>ТЕХНИЧЕСКОЕ ЗАДАНИЕ</w:t>
      </w:r>
    </w:p>
    <w:p w:rsidR="00EC19EA" w:rsidRPr="005269A8" w:rsidRDefault="00EC19EA" w:rsidP="00EC19EA">
      <w:pPr>
        <w:keepNext/>
        <w:keepLines/>
        <w:ind w:left="567"/>
        <w:jc w:val="center"/>
        <w:rPr>
          <w:b/>
          <w:lang w:eastAsia="en-US"/>
        </w:rPr>
      </w:pPr>
      <w:r w:rsidRPr="005269A8">
        <w:rPr>
          <w:b/>
        </w:rPr>
        <w:t xml:space="preserve">Поставка подгузников для взрослых инвалидов в 2018 году </w:t>
      </w:r>
    </w:p>
    <w:p w:rsidR="00EC19EA" w:rsidRPr="00880E5A" w:rsidRDefault="00EC19EA" w:rsidP="00EC19EA">
      <w:pPr>
        <w:keepNext/>
        <w:keepLines/>
        <w:suppressAutoHyphens/>
        <w:jc w:val="both"/>
      </w:pPr>
      <w:r w:rsidRPr="00880E5A">
        <w:t>Поставщик должен осуществлять поставку Изделий в соответствии с требованиями, предъявляемыми в настоящем техническом задании, в период действия государственного контракта.</w:t>
      </w:r>
    </w:p>
    <w:p w:rsidR="00EC19EA" w:rsidRPr="00880E5A" w:rsidRDefault="00EC19EA" w:rsidP="00EC19EA">
      <w:pPr>
        <w:widowControl w:val="0"/>
        <w:jc w:val="both"/>
        <w:rPr>
          <w:bCs/>
        </w:rPr>
      </w:pPr>
      <w:r w:rsidRPr="00880E5A">
        <w:rPr>
          <w:b/>
        </w:rPr>
        <w:t>Способ определения исполнителя (подрядчика, поставщика):</w:t>
      </w:r>
      <w:r>
        <w:rPr>
          <w:b/>
        </w:rPr>
        <w:t xml:space="preserve"> </w:t>
      </w:r>
      <w:r>
        <w:rPr>
          <w:color w:val="000000"/>
        </w:rPr>
        <w:t>аукцион в электронной форме</w:t>
      </w:r>
      <w:r w:rsidRPr="00880E5A">
        <w:rPr>
          <w:bCs/>
        </w:rPr>
        <w:t>.</w:t>
      </w:r>
    </w:p>
    <w:p w:rsidR="00EC19EA" w:rsidRPr="00880E5A" w:rsidRDefault="00EC19EA" w:rsidP="00EC19EA">
      <w:pPr>
        <w:jc w:val="both"/>
        <w:rPr>
          <w:bCs/>
        </w:rPr>
      </w:pPr>
      <w:r w:rsidRPr="00880E5A">
        <w:rPr>
          <w:b/>
        </w:rPr>
        <w:t>Наименование объекта закупки:</w:t>
      </w:r>
      <w:r>
        <w:rPr>
          <w:b/>
        </w:rPr>
        <w:t xml:space="preserve"> </w:t>
      </w:r>
      <w:r w:rsidRPr="00880E5A">
        <w:rPr>
          <w:bCs/>
        </w:rPr>
        <w:t>поставк</w:t>
      </w:r>
      <w:r>
        <w:rPr>
          <w:bCs/>
        </w:rPr>
        <w:t>а</w:t>
      </w:r>
      <w:r w:rsidRPr="00880E5A">
        <w:rPr>
          <w:bCs/>
        </w:rPr>
        <w:t xml:space="preserve"> подгузников для взро</w:t>
      </w:r>
      <w:r>
        <w:rPr>
          <w:bCs/>
        </w:rPr>
        <w:t>слых для инвалидов в 2018 году.</w:t>
      </w:r>
    </w:p>
    <w:p w:rsidR="00EC19EA" w:rsidRPr="00880E5A" w:rsidRDefault="00EC19EA" w:rsidP="00EC19EA">
      <w:pPr>
        <w:jc w:val="both"/>
        <w:rPr>
          <w:bCs/>
        </w:rPr>
      </w:pPr>
      <w:r w:rsidRPr="00880E5A">
        <w:rPr>
          <w:b/>
        </w:rPr>
        <w:t>Количество поставляемого товара (объем выполняемых работ, оказываемых услуг):</w:t>
      </w:r>
      <w:r w:rsidRPr="00476E4A">
        <w:rPr>
          <w:b/>
          <w:bCs/>
          <w:sz w:val="22"/>
          <w:szCs w:val="22"/>
        </w:rPr>
        <w:t xml:space="preserve"> </w:t>
      </w:r>
      <w:r w:rsidRPr="008F115F">
        <w:rPr>
          <w:b/>
          <w:bCs/>
        </w:rPr>
        <w:t>60 720</w:t>
      </w:r>
      <w:r>
        <w:rPr>
          <w:b/>
          <w:bCs/>
          <w:sz w:val="18"/>
          <w:szCs w:val="18"/>
        </w:rPr>
        <w:t> </w:t>
      </w:r>
      <w:r w:rsidRPr="00880E5A">
        <w:rPr>
          <w:bCs/>
        </w:rPr>
        <w:t>изделий.</w:t>
      </w:r>
    </w:p>
    <w:p w:rsidR="00EC19EA" w:rsidRPr="005269A8" w:rsidRDefault="00EC19EA" w:rsidP="00EC19EA">
      <w:pPr>
        <w:widowControl w:val="0"/>
        <w:ind w:right="-62"/>
        <w:jc w:val="both"/>
      </w:pPr>
      <w:r w:rsidRPr="005269A8">
        <w:rPr>
          <w:b/>
        </w:rPr>
        <w:t xml:space="preserve">Срок поставки Изделий: </w:t>
      </w:r>
      <w:r w:rsidRPr="005269A8">
        <w:t xml:space="preserve">Поставка осуществляется в течение </w:t>
      </w:r>
      <w:r>
        <w:t>7</w:t>
      </w:r>
      <w:r w:rsidRPr="005269A8">
        <w:t xml:space="preserve"> (</w:t>
      </w:r>
      <w:r>
        <w:t>семи</w:t>
      </w:r>
      <w:r w:rsidRPr="005269A8">
        <w:t xml:space="preserve">) </w:t>
      </w:r>
      <w:r>
        <w:t>календарных</w:t>
      </w:r>
      <w:r w:rsidRPr="005269A8">
        <w:t xml:space="preserve"> дней </w:t>
      </w:r>
      <w:proofErr w:type="gramStart"/>
      <w:r w:rsidRPr="005269A8">
        <w:t>с даты направления</w:t>
      </w:r>
      <w:proofErr w:type="gramEnd"/>
      <w:r w:rsidRPr="005269A8">
        <w:t xml:space="preserve">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EC19EA" w:rsidRPr="005269A8" w:rsidRDefault="00EC19EA" w:rsidP="00EC19EA">
      <w:pPr>
        <w:widowControl w:val="0"/>
        <w:ind w:right="-62"/>
        <w:jc w:val="both"/>
        <w:rPr>
          <w:b/>
        </w:rPr>
      </w:pPr>
      <w:r w:rsidRPr="005269A8">
        <w:rPr>
          <w:b/>
        </w:rPr>
        <w:t xml:space="preserve">Срок действия Контракта: </w:t>
      </w:r>
      <w:r w:rsidRPr="005269A8">
        <w:t>контра</w:t>
      </w:r>
      <w:proofErr w:type="gramStart"/>
      <w:r w:rsidRPr="005269A8">
        <w:t>кт вст</w:t>
      </w:r>
      <w:proofErr w:type="gramEnd"/>
      <w:r w:rsidRPr="005269A8">
        <w:t>упает в силу с даты подписания контракта и действует до 25 декабря 2018 года.</w:t>
      </w:r>
    </w:p>
    <w:p w:rsidR="00EC19EA" w:rsidRPr="005269A8" w:rsidRDefault="00EC19EA" w:rsidP="00EC19EA">
      <w:pPr>
        <w:widowControl w:val="0"/>
        <w:ind w:right="-62"/>
        <w:jc w:val="both"/>
      </w:pPr>
      <w:r w:rsidRPr="005269A8">
        <w:rPr>
          <w:b/>
        </w:rPr>
        <w:t xml:space="preserve">Место поставки Изделий: </w:t>
      </w:r>
      <w:r w:rsidRPr="005269A8">
        <w:t>Способы выдачи Изделий получателям (способ доставки): выдача Изделий получателям осуществляется исключительно по выбору Получателя, а именно:</w:t>
      </w:r>
    </w:p>
    <w:p w:rsidR="00EC19EA" w:rsidRPr="005269A8" w:rsidRDefault="00EC19EA" w:rsidP="00EC19EA">
      <w:pPr>
        <w:widowControl w:val="0"/>
        <w:ind w:right="-62"/>
        <w:jc w:val="both"/>
      </w:pPr>
      <w:r w:rsidRPr="005269A8">
        <w:t>- по месту жительства Получателя согласно реестру Получателей Изделий путем передачи Изделий Получателю силами Поставщика в пределах административн</w:t>
      </w:r>
      <w:r>
        <w:t>ых</w:t>
      </w:r>
      <w:r w:rsidRPr="005269A8">
        <w:t xml:space="preserve"> границ субъект</w:t>
      </w:r>
      <w:r>
        <w:t xml:space="preserve">ов </w:t>
      </w:r>
      <w:r w:rsidRPr="005269A8">
        <w:t xml:space="preserve">Федерации – </w:t>
      </w:r>
      <w:r>
        <w:t xml:space="preserve">Москвы и </w:t>
      </w:r>
      <w:r w:rsidRPr="005269A8">
        <w:t>Московской области;</w:t>
      </w:r>
    </w:p>
    <w:p w:rsidR="00EC19EA" w:rsidRPr="005269A8" w:rsidRDefault="00EC19EA" w:rsidP="00EC19EA">
      <w:pPr>
        <w:widowControl w:val="0"/>
        <w:ind w:right="-62"/>
        <w:jc w:val="both"/>
      </w:pPr>
      <w:r w:rsidRPr="005269A8">
        <w:t>или</w:t>
      </w:r>
    </w:p>
    <w:p w:rsidR="00EC19EA" w:rsidRPr="005269A8" w:rsidRDefault="00EC19EA" w:rsidP="00EC19EA">
      <w:pPr>
        <w:jc w:val="both"/>
      </w:pPr>
      <w:r w:rsidRPr="005269A8">
        <w:t>- в пунктах выдачи изделий согласно Техническому задан</w:t>
      </w:r>
      <w:r>
        <w:t>ию и приложению № 2 к</w:t>
      </w:r>
      <w:r w:rsidRPr="005269A8">
        <w:t xml:space="preserve"> Контракту, организованных Поставщиком в пределах административн</w:t>
      </w:r>
      <w:r>
        <w:t>ых</w:t>
      </w:r>
      <w:r w:rsidRPr="005269A8">
        <w:t xml:space="preserve"> границ субъект</w:t>
      </w:r>
      <w:r>
        <w:t>ов</w:t>
      </w:r>
      <w:r w:rsidRPr="005269A8">
        <w:t xml:space="preserve"> Федерации – </w:t>
      </w:r>
      <w:r>
        <w:t xml:space="preserve">Москвы и </w:t>
      </w:r>
      <w:r w:rsidRPr="005269A8">
        <w:t>Московской области.</w:t>
      </w:r>
    </w:p>
    <w:p w:rsidR="00EC19EA" w:rsidRPr="00313279" w:rsidRDefault="00EC19EA" w:rsidP="00EC19EA">
      <w:pPr>
        <w:widowControl w:val="0"/>
        <w:autoSpaceDE w:val="0"/>
        <w:autoSpaceDN w:val="0"/>
        <w:adjustRightInd w:val="0"/>
        <w:jc w:val="both"/>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EC19EA" w:rsidRPr="00476E4A" w:rsidRDefault="00EC19EA" w:rsidP="00EC19EA">
      <w:pPr>
        <w:jc w:val="both"/>
        <w:rPr>
          <w:b/>
          <w:bCs/>
        </w:rPr>
      </w:pPr>
      <w:r w:rsidRPr="00476E4A">
        <w:rPr>
          <w:b/>
          <w:bCs/>
        </w:rPr>
        <w:t>Начальная (максимальная) цена Контракта</w:t>
      </w:r>
      <w:r w:rsidRPr="00476E4A">
        <w:rPr>
          <w:rFonts w:eastAsia="Calibri"/>
          <w:b/>
          <w:bCs/>
          <w:color w:val="000000"/>
          <w:sz w:val="22"/>
          <w:szCs w:val="22"/>
        </w:rPr>
        <w:t xml:space="preserve">: </w:t>
      </w:r>
      <w:r w:rsidRPr="008F115F">
        <w:rPr>
          <w:b/>
          <w:bCs/>
        </w:rPr>
        <w:t>1 396 560,00</w:t>
      </w:r>
      <w:r w:rsidRPr="00476E4A">
        <w:rPr>
          <w:b/>
          <w:bCs/>
        </w:rPr>
        <w:t xml:space="preserve"> (</w:t>
      </w:r>
      <w:r>
        <w:rPr>
          <w:b/>
          <w:bCs/>
        </w:rPr>
        <w:t>один миллион триста девяносто шесть тысяч пятьсот шестьдесят</w:t>
      </w:r>
      <w:r w:rsidRPr="00476E4A">
        <w:rPr>
          <w:b/>
          <w:bCs/>
        </w:rPr>
        <w:t>) рубл</w:t>
      </w:r>
      <w:r>
        <w:rPr>
          <w:b/>
          <w:bCs/>
        </w:rPr>
        <w:t>ей</w:t>
      </w:r>
      <w:r w:rsidRPr="00476E4A">
        <w:rPr>
          <w:b/>
          <w:bCs/>
        </w:rPr>
        <w:t xml:space="preserve"> 00 копеек.   </w:t>
      </w:r>
    </w:p>
    <w:p w:rsidR="00EC19EA" w:rsidRPr="00476E4A" w:rsidRDefault="00EC19EA" w:rsidP="00EC19EA">
      <w:pPr>
        <w:widowControl w:val="0"/>
        <w:jc w:val="both"/>
        <w:rPr>
          <w:bCs/>
        </w:rPr>
      </w:pPr>
      <w:r w:rsidRPr="00476E4A">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EC19EA" w:rsidRPr="00EC77B7" w:rsidRDefault="00EC19EA" w:rsidP="00EC19EA">
      <w:pPr>
        <w:widowControl w:val="0"/>
        <w:jc w:val="both"/>
        <w:rPr>
          <w:b/>
          <w:bCs/>
        </w:rPr>
      </w:pPr>
      <w:r w:rsidRPr="00476E4A">
        <w:rPr>
          <w:b/>
          <w:bCs/>
        </w:rPr>
        <w:t>Требование обеспечения исполнения контракта:</w:t>
      </w:r>
      <w:r w:rsidRPr="00476E4A">
        <w:rPr>
          <w:bCs/>
        </w:rPr>
        <w:t xml:space="preserve"> размер обеспечения составляет 30% от начальной (максимальной) цены контракты </w:t>
      </w:r>
      <w:r>
        <w:rPr>
          <w:b/>
          <w:bCs/>
        </w:rPr>
        <w:t>418 968</w:t>
      </w:r>
      <w:r w:rsidRPr="00476E4A">
        <w:rPr>
          <w:b/>
          <w:bCs/>
        </w:rPr>
        <w:t xml:space="preserve"> (</w:t>
      </w:r>
      <w:r>
        <w:rPr>
          <w:b/>
          <w:bCs/>
        </w:rPr>
        <w:t>четыреста восемнадцать тысяч девятьсот шестьдесят восемь</w:t>
      </w:r>
      <w:r w:rsidRPr="00476E4A">
        <w:rPr>
          <w:b/>
          <w:bCs/>
        </w:rPr>
        <w:t xml:space="preserve">) рублей </w:t>
      </w:r>
      <w:r>
        <w:rPr>
          <w:b/>
          <w:bCs/>
        </w:rPr>
        <w:t>00</w:t>
      </w:r>
      <w:r w:rsidRPr="00476E4A">
        <w:rPr>
          <w:b/>
          <w:bCs/>
        </w:rPr>
        <w:t xml:space="preserve"> копеек.</w:t>
      </w:r>
    </w:p>
    <w:p w:rsidR="00EC19EA" w:rsidRPr="005269A8" w:rsidRDefault="00EC19EA" w:rsidP="00EC19EA">
      <w:pPr>
        <w:widowControl w:val="0"/>
        <w:jc w:val="both"/>
        <w:rPr>
          <w:b/>
          <w:bCs/>
        </w:rPr>
      </w:pPr>
      <w:r w:rsidRPr="005269A8">
        <w:rPr>
          <w:b/>
          <w:bCs/>
        </w:rPr>
        <w:t>1. Порядок выдачи Изделий</w:t>
      </w:r>
    </w:p>
    <w:p w:rsidR="00EC19EA" w:rsidRPr="005269A8" w:rsidRDefault="00EC19EA" w:rsidP="00EC19EA">
      <w:pPr>
        <w:widowControl w:val="0"/>
        <w:jc w:val="both"/>
        <w:rPr>
          <w:bCs/>
        </w:rPr>
      </w:pPr>
      <w:r w:rsidRPr="005269A8">
        <w:rPr>
          <w:bCs/>
        </w:rPr>
        <w:lastRenderedPageBreak/>
        <w:t xml:space="preserve">1.1. Выдавать Изделия через пункты </w:t>
      </w:r>
      <w:r>
        <w:rPr>
          <w:bCs/>
        </w:rPr>
        <w:t>выдачи</w:t>
      </w:r>
      <w:r w:rsidRPr="005269A8">
        <w:rPr>
          <w:bCs/>
        </w:rPr>
        <w:t>, организованные Поставщиком в соответствии с пунктом 1.4.1 – 1.4.10 технического задания.</w:t>
      </w:r>
    </w:p>
    <w:p w:rsidR="00EC19EA" w:rsidRPr="005269A8" w:rsidRDefault="00EC19EA" w:rsidP="00EC19EA">
      <w:pPr>
        <w:widowControl w:val="0"/>
        <w:jc w:val="both"/>
        <w:rPr>
          <w:bCs/>
        </w:rPr>
      </w:pPr>
      <w:r w:rsidRPr="005269A8">
        <w:rPr>
          <w:bCs/>
        </w:rPr>
        <w:t>1.2. Доставлять Изделия по адресам местожительства Получателей.</w:t>
      </w:r>
    </w:p>
    <w:p w:rsidR="00EC19EA" w:rsidRPr="005269A8" w:rsidRDefault="00EC19EA" w:rsidP="00EC19EA">
      <w:pPr>
        <w:widowControl w:val="0"/>
        <w:jc w:val="both"/>
        <w:rPr>
          <w:bCs/>
        </w:rPr>
      </w:pPr>
      <w:r w:rsidRPr="005269A8">
        <w:rPr>
          <w:bCs/>
        </w:rPr>
        <w:t xml:space="preserve">1.3. Передача Изделий не может превышать </w:t>
      </w:r>
      <w:proofErr w:type="gramStart"/>
      <w:r w:rsidRPr="005269A8">
        <w:rPr>
          <w:bCs/>
        </w:rPr>
        <w:t>количество</w:t>
      </w:r>
      <w:proofErr w:type="gramEnd"/>
      <w:r w:rsidRPr="005269A8">
        <w:rPr>
          <w:bCs/>
        </w:rPr>
        <w:t xml:space="preserve"> указанное в направлении.</w:t>
      </w:r>
    </w:p>
    <w:p w:rsidR="00EC19EA" w:rsidRPr="005269A8" w:rsidRDefault="00EC19EA" w:rsidP="00EC19EA">
      <w:pPr>
        <w:widowControl w:val="0"/>
        <w:jc w:val="both"/>
        <w:rPr>
          <w:bCs/>
        </w:rPr>
      </w:pPr>
      <w:r w:rsidRPr="005269A8">
        <w:rPr>
          <w:bCs/>
        </w:rPr>
        <w:t xml:space="preserve">1.4. Передавать Изделия Получателям по месту нахождения пунктов </w:t>
      </w:r>
      <w:r>
        <w:rPr>
          <w:bCs/>
        </w:rPr>
        <w:t>выдачи</w:t>
      </w:r>
      <w:r w:rsidRPr="005269A8">
        <w:rPr>
          <w:bCs/>
        </w:rPr>
        <w:t>, организованных Поставщиком, в день обращения Получателя.</w:t>
      </w:r>
    </w:p>
    <w:p w:rsidR="00EC19EA" w:rsidRPr="005269A8" w:rsidRDefault="00EC19EA" w:rsidP="00EC19EA">
      <w:pPr>
        <w:widowControl w:val="0"/>
        <w:jc w:val="both"/>
        <w:rPr>
          <w:bCs/>
        </w:rPr>
      </w:pPr>
      <w:r w:rsidRPr="005269A8">
        <w:rPr>
          <w:bCs/>
        </w:rPr>
        <w:t xml:space="preserve">1.4.1. Пункты </w:t>
      </w:r>
      <w:r>
        <w:rPr>
          <w:bCs/>
        </w:rPr>
        <w:t>выдачи</w:t>
      </w:r>
      <w:r w:rsidRPr="005269A8">
        <w:rPr>
          <w:bCs/>
        </w:rPr>
        <w:t xml:space="preserve">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C19EA" w:rsidRPr="005269A8" w:rsidRDefault="00EC19EA" w:rsidP="00EC19EA">
      <w:pPr>
        <w:widowControl w:val="0"/>
        <w:jc w:val="both"/>
        <w:rPr>
          <w:bCs/>
        </w:rPr>
      </w:pPr>
      <w:r w:rsidRPr="005269A8">
        <w:rPr>
          <w:bCs/>
        </w:rPr>
        <w:t xml:space="preserve">1.4.2. Пункты </w:t>
      </w:r>
      <w:r>
        <w:rPr>
          <w:bCs/>
        </w:rPr>
        <w:t>выдачи</w:t>
      </w:r>
      <w:r w:rsidRPr="005269A8">
        <w:rPr>
          <w:bCs/>
        </w:rPr>
        <w:t xml:space="preserve"> должны быть организованы не менее чем в 20 различных районах (административных (муниципальных) районах) субъекта. Количество пунктов в районе (административном (муниципальном) районе) субъекта – не менее одного.</w:t>
      </w:r>
    </w:p>
    <w:p w:rsidR="00EC19EA" w:rsidRPr="005269A8" w:rsidRDefault="00EC19EA" w:rsidP="00EC19EA">
      <w:pPr>
        <w:widowControl w:val="0"/>
        <w:jc w:val="both"/>
        <w:rPr>
          <w:bCs/>
        </w:rPr>
      </w:pPr>
      <w:r w:rsidRPr="005269A8">
        <w:rPr>
          <w:bCs/>
        </w:rPr>
        <w:t>1.4.3. Площадь каждого из пунктов, предназначенная для приёма и ожидания Получателей в очереди, должна быть не менее 50 квадратных метров.</w:t>
      </w:r>
    </w:p>
    <w:p w:rsidR="00EC19EA" w:rsidRPr="005269A8" w:rsidRDefault="00EC19EA" w:rsidP="00EC19EA">
      <w:pPr>
        <w:widowControl w:val="0"/>
        <w:jc w:val="both"/>
        <w:rPr>
          <w:bCs/>
        </w:rPr>
      </w:pPr>
      <w:r w:rsidRPr="005269A8">
        <w:rPr>
          <w:bCs/>
        </w:rPr>
        <w:t>1.4.4. Каждый из пунктов должен иметь туалетную комнату со свободным доступом туда Получателей.</w:t>
      </w:r>
    </w:p>
    <w:p w:rsidR="00EC19EA" w:rsidRPr="005269A8" w:rsidRDefault="00EC19EA" w:rsidP="00EC19EA">
      <w:pPr>
        <w:widowControl w:val="0"/>
        <w:jc w:val="both"/>
        <w:rPr>
          <w:bCs/>
        </w:rPr>
      </w:pPr>
      <w:r w:rsidRPr="005269A8">
        <w:rPr>
          <w:bCs/>
        </w:rPr>
        <w:t>1.4.5. Каждый из пунктов должен быть оборудован местами для ожидания Получателями в сидячем положении.</w:t>
      </w:r>
    </w:p>
    <w:p w:rsidR="00EC19EA" w:rsidRPr="005269A8" w:rsidRDefault="00EC19EA" w:rsidP="00EC19EA">
      <w:pPr>
        <w:widowControl w:val="0"/>
        <w:jc w:val="both"/>
        <w:rPr>
          <w:bCs/>
        </w:rPr>
      </w:pPr>
      <w:r w:rsidRPr="005269A8">
        <w:rPr>
          <w:bCs/>
        </w:rPr>
        <w:t xml:space="preserve">1.4.6. Пункты </w:t>
      </w:r>
      <w:r>
        <w:rPr>
          <w:bCs/>
        </w:rPr>
        <w:t>выдачи</w:t>
      </w:r>
      <w:r w:rsidRPr="005269A8">
        <w:rPr>
          <w:bCs/>
        </w:rPr>
        <w:t xml:space="preserve">, не должны располагаться в жилых помещениях (квартирах). </w:t>
      </w:r>
    </w:p>
    <w:p w:rsidR="00EC19EA" w:rsidRPr="005269A8" w:rsidRDefault="00EC19EA" w:rsidP="00EC19EA">
      <w:pPr>
        <w:widowControl w:val="0"/>
        <w:jc w:val="both"/>
        <w:rPr>
          <w:bCs/>
        </w:rPr>
      </w:pPr>
      <w:r w:rsidRPr="005269A8">
        <w:rPr>
          <w:bCs/>
        </w:rPr>
        <w:t xml:space="preserve">1.4.7.  Пункты </w:t>
      </w:r>
      <w:r>
        <w:rPr>
          <w:bCs/>
        </w:rPr>
        <w:t>выдачи</w:t>
      </w:r>
      <w:r w:rsidRPr="005269A8">
        <w:rPr>
          <w:bCs/>
        </w:rPr>
        <w:t>, должны располагаться не выше первого этажа здания.</w:t>
      </w:r>
    </w:p>
    <w:p w:rsidR="00EC19EA" w:rsidRPr="005269A8" w:rsidRDefault="00EC19EA" w:rsidP="00EC19EA">
      <w:pPr>
        <w:widowControl w:val="0"/>
        <w:jc w:val="both"/>
        <w:rPr>
          <w:bCs/>
        </w:rPr>
      </w:pPr>
      <w:r w:rsidRPr="005269A8">
        <w:rPr>
          <w:bCs/>
        </w:rPr>
        <w:t>1.4.8. Каждый пункт должен иметь режим работы не менее чем с 10:00 до 18:00, с понедельника по пятницу.</w:t>
      </w:r>
    </w:p>
    <w:p w:rsidR="00EC19EA" w:rsidRPr="005269A8" w:rsidRDefault="00EC19EA" w:rsidP="00EC19EA">
      <w:pPr>
        <w:widowControl w:val="0"/>
        <w:jc w:val="both"/>
        <w:rPr>
          <w:bCs/>
        </w:rPr>
      </w:pPr>
      <w:r w:rsidRPr="005269A8">
        <w:rPr>
          <w:bCs/>
        </w:rPr>
        <w:t xml:space="preserve">1.4.9. На каждом пункте </w:t>
      </w:r>
      <w:r>
        <w:rPr>
          <w:bCs/>
        </w:rPr>
        <w:t>выдачи</w:t>
      </w:r>
      <w:r w:rsidRPr="005269A8">
        <w:rPr>
          <w:bCs/>
        </w:rPr>
        <w:t xml:space="preserve">, с уличной стороны, рядом </w:t>
      </w:r>
      <w:proofErr w:type="gramStart"/>
      <w:r w:rsidRPr="005269A8">
        <w:rPr>
          <w:bCs/>
        </w:rPr>
        <w:t>со</w:t>
      </w:r>
      <w:proofErr w:type="gramEnd"/>
      <w:r w:rsidRPr="005269A8">
        <w:rPr>
          <w:bCs/>
        </w:rPr>
        <w:t xml:space="preserve"> входом в пункт </w:t>
      </w:r>
      <w:r>
        <w:rPr>
          <w:bCs/>
        </w:rPr>
        <w:t>выдачи</w:t>
      </w:r>
      <w:r w:rsidRPr="005269A8">
        <w:rPr>
          <w:bCs/>
        </w:rPr>
        <w:t>, должна висеть вывеска (табличка) с надписью: «Пункт выдачи, технических средств реабилитации для инвалидов».</w:t>
      </w:r>
    </w:p>
    <w:p w:rsidR="00EC19EA" w:rsidRPr="005269A8" w:rsidRDefault="00EC19EA" w:rsidP="00EC19EA">
      <w:pPr>
        <w:widowControl w:val="0"/>
        <w:jc w:val="both"/>
        <w:rPr>
          <w:bCs/>
        </w:rPr>
      </w:pPr>
      <w:r w:rsidRPr="005269A8">
        <w:rPr>
          <w:bCs/>
        </w:rPr>
        <w:t xml:space="preserve">1.4.10. Пункты </w:t>
      </w:r>
      <w:r>
        <w:rPr>
          <w:bCs/>
        </w:rPr>
        <w:t>выдачи</w:t>
      </w:r>
      <w:r w:rsidRPr="005269A8">
        <w:rPr>
          <w:bCs/>
        </w:rPr>
        <w:t xml:space="preserve"> должны быть организованы на момент заключения контракта.</w:t>
      </w:r>
    </w:p>
    <w:p w:rsidR="00EC19EA" w:rsidRPr="005269A8" w:rsidRDefault="00EC19EA" w:rsidP="00EC19EA">
      <w:pPr>
        <w:widowControl w:val="0"/>
        <w:jc w:val="both"/>
        <w:rPr>
          <w:bCs/>
        </w:rPr>
      </w:pPr>
      <w:r w:rsidRPr="005269A8">
        <w:rPr>
          <w:bCs/>
        </w:rPr>
        <w:t>1.4.10.1. Адреса и график работы пунктов должны быть указаны в приложении к государственному контракту.</w:t>
      </w:r>
    </w:p>
    <w:p w:rsidR="00EC19EA" w:rsidRPr="005269A8" w:rsidRDefault="00EC19EA" w:rsidP="00EC19EA">
      <w:pPr>
        <w:widowControl w:val="0"/>
        <w:jc w:val="both"/>
        <w:rPr>
          <w:bCs/>
        </w:rPr>
      </w:pPr>
      <w:r w:rsidRPr="005269A8">
        <w:rPr>
          <w:bCs/>
        </w:rPr>
        <w:t xml:space="preserve">1.4.11. Обеспечить наличие Изделий в каждом пункте </w:t>
      </w:r>
      <w:r>
        <w:rPr>
          <w:bCs/>
        </w:rPr>
        <w:t>выдачи</w:t>
      </w:r>
      <w:r w:rsidRPr="005269A8">
        <w:rPr>
          <w:bCs/>
        </w:rPr>
        <w:t xml:space="preserve"> для выбора Получателями на день, следующий за днем заключения Контракта, в равных пропорциях, предусмотренных в Контракте, по наименованиям и типам Изделий. При этом типы, размерный ряд Изделий должны быть в равном процентном соотношении друг к другу в пределах каждого наименования. В рамках исполнения Контракта в пунктах </w:t>
      </w:r>
      <w:r>
        <w:rPr>
          <w:bCs/>
        </w:rPr>
        <w:t>выдачи</w:t>
      </w:r>
      <w:r w:rsidRPr="005269A8">
        <w:rPr>
          <w:bCs/>
        </w:rPr>
        <w:t xml:space="preserve"> ежедневно должны находиться Изделия всех наименований и размеров до полной выдачи Изделий каждого наименования.</w:t>
      </w:r>
    </w:p>
    <w:p w:rsidR="00EC19EA" w:rsidRPr="005269A8" w:rsidRDefault="00EC19EA" w:rsidP="00EC19EA">
      <w:pPr>
        <w:widowControl w:val="0"/>
        <w:jc w:val="both"/>
        <w:rPr>
          <w:bCs/>
        </w:rPr>
      </w:pPr>
      <w:r w:rsidRPr="005269A8">
        <w:rPr>
          <w:bCs/>
        </w:rPr>
        <w:t>1.5. Доставка по адресам места жительства Получателей.</w:t>
      </w:r>
    </w:p>
    <w:p w:rsidR="00EC19EA" w:rsidRPr="005269A8" w:rsidRDefault="00EC19EA" w:rsidP="00EC19EA">
      <w:pPr>
        <w:widowControl w:val="0"/>
        <w:jc w:val="both"/>
        <w:rPr>
          <w:bCs/>
        </w:rPr>
      </w:pPr>
      <w:r w:rsidRPr="005269A8">
        <w:rPr>
          <w:bCs/>
        </w:rPr>
        <w:t xml:space="preserve">1.5.1. Осуществлять доставку Изделий не менее чем с 10:00 до 21:00 с понедельника по </w:t>
      </w:r>
      <w:r w:rsidRPr="005269A8">
        <w:rPr>
          <w:bCs/>
        </w:rPr>
        <w:lastRenderedPageBreak/>
        <w:t>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EC19EA" w:rsidRPr="005269A8" w:rsidRDefault="00EC19EA" w:rsidP="00EC19EA">
      <w:pPr>
        <w:widowControl w:val="0"/>
        <w:jc w:val="both"/>
        <w:rPr>
          <w:bCs/>
        </w:rPr>
      </w:pPr>
      <w:r w:rsidRPr="005269A8">
        <w:rPr>
          <w:bCs/>
        </w:rPr>
        <w:t xml:space="preserve">1.5.2. </w:t>
      </w:r>
      <w:proofErr w:type="gramStart"/>
      <w:r w:rsidRPr="005269A8">
        <w:rPr>
          <w:bCs/>
        </w:rPr>
        <w:t>Объем доставляемых на дом Изделий должен определятся согласно полученным реестрам направленных Заказчиком.</w:t>
      </w:r>
      <w:proofErr w:type="gramEnd"/>
    </w:p>
    <w:p w:rsidR="00EC19EA" w:rsidRPr="005269A8" w:rsidRDefault="00EC19EA" w:rsidP="00EC19EA">
      <w:pPr>
        <w:widowControl w:val="0"/>
        <w:jc w:val="both"/>
        <w:rPr>
          <w:bCs/>
        </w:rPr>
      </w:pPr>
      <w:r w:rsidRPr="005269A8">
        <w:rPr>
          <w:bCs/>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w:t>
      </w:r>
      <w:r>
        <w:rPr>
          <w:bCs/>
        </w:rPr>
        <w:t>ых</w:t>
      </w:r>
      <w:r w:rsidRPr="005269A8">
        <w:rPr>
          <w:bCs/>
        </w:rPr>
        <w:t xml:space="preserve"> границ</w:t>
      </w:r>
      <w:r>
        <w:rPr>
          <w:bCs/>
        </w:rPr>
        <w:t xml:space="preserve"> Москвы и</w:t>
      </w:r>
      <w:r w:rsidRPr="005269A8">
        <w:rPr>
          <w:bCs/>
        </w:rPr>
        <w:t xml:space="preserve"> Московской области.</w:t>
      </w:r>
    </w:p>
    <w:p w:rsidR="00EC19EA" w:rsidRPr="005269A8" w:rsidRDefault="00EC19EA" w:rsidP="00EC19EA">
      <w:pPr>
        <w:widowControl w:val="0"/>
        <w:jc w:val="both"/>
        <w:rPr>
          <w:bCs/>
        </w:rPr>
      </w:pPr>
      <w:r w:rsidRPr="005269A8">
        <w:rPr>
          <w:bCs/>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EC19EA" w:rsidRPr="005269A8" w:rsidRDefault="00EC19EA" w:rsidP="00EC19EA">
      <w:pPr>
        <w:pStyle w:val="af6"/>
        <w:numPr>
          <w:ilvl w:val="0"/>
          <w:numId w:val="16"/>
        </w:numPr>
        <w:rPr>
          <w:b/>
          <w:bCs/>
          <w:kern w:val="1"/>
          <w:sz w:val="24"/>
          <w:szCs w:val="28"/>
          <w:lang w:eastAsia="ar-SA"/>
        </w:rPr>
      </w:pPr>
      <w:r w:rsidRPr="005269A8">
        <w:rPr>
          <w:b/>
          <w:sz w:val="24"/>
        </w:rPr>
        <w:t>Требования к техническим и к функциональным характеристикам товара.</w:t>
      </w:r>
    </w:p>
    <w:p w:rsidR="00EC19EA" w:rsidRPr="005269A8" w:rsidRDefault="00EC19EA" w:rsidP="00EC19EA">
      <w:pPr>
        <w:pStyle w:val="af6"/>
        <w:ind w:firstLine="567"/>
        <w:jc w:val="both"/>
        <w:rPr>
          <w:sz w:val="24"/>
          <w:lang w:eastAsia="ar-SA"/>
        </w:rPr>
      </w:pPr>
      <w:r w:rsidRPr="005269A8">
        <w:rPr>
          <w:sz w:val="24"/>
          <w:lang w:eastAsia="ar-SA"/>
        </w:rPr>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EC19EA" w:rsidRPr="005269A8" w:rsidRDefault="00EC19EA" w:rsidP="00EC19EA">
      <w:pPr>
        <w:pStyle w:val="af6"/>
        <w:ind w:firstLine="567"/>
        <w:jc w:val="both"/>
        <w:rPr>
          <w:sz w:val="24"/>
          <w:lang w:eastAsia="ar-SA"/>
        </w:rPr>
      </w:pPr>
      <w:r w:rsidRPr="005269A8">
        <w:rPr>
          <w:sz w:val="24"/>
          <w:lang w:eastAsia="ar-SA"/>
        </w:rPr>
        <w:t xml:space="preserve">Классификация абсорбирующего белья и подгузников представлена в Национальном стандарте Российской Федерации ГОСТ </w:t>
      </w:r>
      <w:proofErr w:type="gramStart"/>
      <w:r w:rsidRPr="005269A8">
        <w:rPr>
          <w:sz w:val="24"/>
          <w:lang w:eastAsia="ar-SA"/>
        </w:rPr>
        <w:t>Р</w:t>
      </w:r>
      <w:proofErr w:type="gramEnd"/>
      <w:r w:rsidRPr="005269A8">
        <w:rPr>
          <w:sz w:val="24"/>
          <w:lang w:eastAsia="ar-SA"/>
        </w:rPr>
        <w:t xml:space="preserve"> ИСО 9999-2014 «Вспомогательные средства для людей с ограничениями жизнедеятельности. Классификация и терминология», код двухуровневой классификации 09 30.</w:t>
      </w:r>
    </w:p>
    <w:p w:rsidR="00EC19EA" w:rsidRPr="005269A8" w:rsidRDefault="00EC19EA" w:rsidP="00EC19EA">
      <w:pPr>
        <w:pStyle w:val="af6"/>
        <w:ind w:firstLine="567"/>
        <w:jc w:val="both"/>
        <w:rPr>
          <w:sz w:val="24"/>
          <w:lang w:eastAsia="ar-SA"/>
        </w:rPr>
      </w:pPr>
      <w:r w:rsidRPr="005269A8">
        <w:rPr>
          <w:sz w:val="24"/>
          <w:lang w:eastAsia="ar-SA"/>
        </w:rPr>
        <w:t xml:space="preserve">Подгузники для взрослых должны быть изготовлены в виде раскроя трусов с фиксирующими элементами. </w:t>
      </w:r>
    </w:p>
    <w:p w:rsidR="00EC19EA" w:rsidRPr="005269A8" w:rsidRDefault="00EC19EA" w:rsidP="00EC19EA">
      <w:pPr>
        <w:pStyle w:val="af6"/>
        <w:ind w:firstLine="567"/>
        <w:jc w:val="both"/>
        <w:rPr>
          <w:sz w:val="24"/>
          <w:lang w:eastAsia="ar-SA"/>
        </w:rPr>
      </w:pPr>
      <w:r w:rsidRPr="005269A8">
        <w:rPr>
          <w:sz w:val="24"/>
          <w:lang w:eastAsia="ar-SA"/>
        </w:rPr>
        <w:t xml:space="preserve">Подгузники для взрослых должны быть изготовлены в соответствии с требованиями раздела 5 ГОСТ </w:t>
      </w:r>
      <w:proofErr w:type="gramStart"/>
      <w:r w:rsidRPr="005269A8">
        <w:rPr>
          <w:sz w:val="24"/>
          <w:lang w:eastAsia="ar-SA"/>
        </w:rPr>
        <w:t>Р</w:t>
      </w:r>
      <w:proofErr w:type="gramEnd"/>
      <w:r w:rsidRPr="005269A8">
        <w:rPr>
          <w:sz w:val="24"/>
          <w:lang w:eastAsia="ar-SA"/>
        </w:rPr>
        <w:t xml:space="preserve"> 55082-2012 «Изделия бумажные медицинского назначения. Подгузники для взрослых. Общие технические условия» по технической документации на конкретный подгузник и/или группу подгузников.</w:t>
      </w:r>
    </w:p>
    <w:p w:rsidR="00EC19EA" w:rsidRPr="005269A8" w:rsidRDefault="00EC19EA" w:rsidP="00EC19EA">
      <w:pPr>
        <w:pStyle w:val="af6"/>
        <w:ind w:firstLine="567"/>
        <w:jc w:val="both"/>
        <w:rPr>
          <w:sz w:val="24"/>
          <w:lang w:eastAsia="ar-SA"/>
        </w:rPr>
      </w:pPr>
      <w:r w:rsidRPr="005269A8">
        <w:rPr>
          <w:sz w:val="24"/>
        </w:rPr>
        <w:t>Абсорбирующее белье должно обеспечивать соблюдение санитарно-гигиенических условий для инвалидов с нарушениями функций выделения.</w:t>
      </w:r>
    </w:p>
    <w:p w:rsidR="00EC19EA" w:rsidRPr="005269A8" w:rsidRDefault="00EC19EA" w:rsidP="00EC19EA">
      <w:pPr>
        <w:pStyle w:val="af6"/>
        <w:ind w:firstLine="567"/>
        <w:jc w:val="both"/>
        <w:rPr>
          <w:sz w:val="24"/>
          <w:lang w:eastAsia="ar-SA"/>
        </w:rPr>
      </w:pPr>
      <w:r w:rsidRPr="005269A8">
        <w:rPr>
          <w:sz w:val="24"/>
          <w:lang w:eastAsia="ar-SA"/>
        </w:rPr>
        <w:t>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 Подгузники должны быть предназначены для ночного и дневного применения. Должны иметь эластичный пояс, водонепроницаемые защитные барьеры по бокам, препятствующие протеканию.</w:t>
      </w:r>
    </w:p>
    <w:p w:rsidR="00EC19EA" w:rsidRPr="005269A8" w:rsidRDefault="00EC19EA" w:rsidP="00EC19EA">
      <w:pPr>
        <w:pStyle w:val="af6"/>
        <w:ind w:firstLine="567"/>
        <w:jc w:val="both"/>
        <w:rPr>
          <w:sz w:val="24"/>
        </w:rPr>
      </w:pPr>
      <w:r w:rsidRPr="005269A8">
        <w:rPr>
          <w:sz w:val="24"/>
        </w:rPr>
        <w:t xml:space="preserve">Система впитывания многослойная. Верхний слой - текстильная нетканая поверхность. Наружная поверхность подгузника должна быть изготовлена из специального </w:t>
      </w:r>
      <w:proofErr w:type="spellStart"/>
      <w:r w:rsidRPr="005269A8">
        <w:rPr>
          <w:sz w:val="24"/>
        </w:rPr>
        <w:t>гипоаллергенного</w:t>
      </w:r>
      <w:proofErr w:type="spellEnd"/>
      <w:r w:rsidRPr="005269A8">
        <w:rPr>
          <w:sz w:val="24"/>
        </w:rPr>
        <w:t xml:space="preserve"> нетканого гидрофобного материала с функцией </w:t>
      </w:r>
      <w:proofErr w:type="spellStart"/>
      <w:r w:rsidRPr="005269A8">
        <w:rPr>
          <w:sz w:val="24"/>
        </w:rPr>
        <w:t>паропроницаемости</w:t>
      </w:r>
      <w:proofErr w:type="spellEnd"/>
      <w:r w:rsidRPr="005269A8">
        <w:rPr>
          <w:sz w:val="24"/>
        </w:rPr>
        <w:t xml:space="preserve">/«дышащего». Внутренняя поверхность - </w:t>
      </w:r>
      <w:proofErr w:type="spellStart"/>
      <w:r w:rsidRPr="005269A8">
        <w:rPr>
          <w:sz w:val="24"/>
        </w:rPr>
        <w:t>гипоаллергенный</w:t>
      </w:r>
      <w:proofErr w:type="spellEnd"/>
      <w:r w:rsidRPr="005269A8">
        <w:rPr>
          <w:sz w:val="24"/>
        </w:rPr>
        <w:t xml:space="preserve"> нетканый материал, пропускает влагу в одном направлении, и обеспечивает сухость кожи, дополнительную защиту кожи от раздражения. Впитывающий слой - распушенная целлюлоза с </w:t>
      </w:r>
      <w:proofErr w:type="spellStart"/>
      <w:r w:rsidRPr="005269A8">
        <w:rPr>
          <w:sz w:val="24"/>
        </w:rPr>
        <w:t>суперабсорбирующим</w:t>
      </w:r>
      <w:proofErr w:type="spellEnd"/>
      <w:r w:rsidRPr="005269A8">
        <w:rPr>
          <w:sz w:val="24"/>
        </w:rPr>
        <w:t xml:space="preserve"> полимером, превращающим жидкость в гель. Весь наружный (защитный) материал не должен содержать пленку как снаружи, так и внутри. Сырье и материалы для одноразовых подгузников должны быть разрешены к применению Федеральной службой по надзору в сфере защиты прав потребителей.</w:t>
      </w:r>
    </w:p>
    <w:p w:rsidR="00EC19EA" w:rsidRPr="005269A8" w:rsidRDefault="00EC19EA" w:rsidP="00EC19EA">
      <w:pPr>
        <w:pStyle w:val="af6"/>
        <w:ind w:firstLine="567"/>
        <w:jc w:val="both"/>
        <w:rPr>
          <w:sz w:val="24"/>
        </w:rPr>
      </w:pPr>
      <w:r w:rsidRPr="005269A8">
        <w:rPr>
          <w:sz w:val="24"/>
        </w:rPr>
        <w:lastRenderedPageBreak/>
        <w:t xml:space="preserve">Допускается поставка подгузников без распределительного и нижнего покровного слоев, если при отсутствии нижнего покровного слоя его функцию выполняет защитный слой. </w:t>
      </w:r>
    </w:p>
    <w:p w:rsidR="00EC19EA" w:rsidRDefault="00EC19EA" w:rsidP="00EC19EA">
      <w:pPr>
        <w:pStyle w:val="af6"/>
        <w:ind w:firstLine="567"/>
        <w:jc w:val="both"/>
        <w:rPr>
          <w:sz w:val="24"/>
        </w:rPr>
      </w:pPr>
      <w:r w:rsidRPr="005269A8">
        <w:rPr>
          <w:sz w:val="24"/>
        </w:rPr>
        <w:t>Слои подгузников должны быть скреплены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r w:rsidRPr="00FD46D0">
        <w:rPr>
          <w:sz w:val="24"/>
        </w:rPr>
        <w:t xml:space="preserve"> </w:t>
      </w:r>
    </w:p>
    <w:p w:rsidR="00EC19EA" w:rsidRPr="00A75589" w:rsidRDefault="00EC19EA" w:rsidP="00EC19EA">
      <w:pPr>
        <w:pStyle w:val="af6"/>
        <w:ind w:firstLine="567"/>
        <w:jc w:val="both"/>
        <w:rPr>
          <w:sz w:val="24"/>
        </w:rPr>
      </w:pPr>
      <w:r w:rsidRPr="003C4ABF">
        <w:rPr>
          <w:sz w:val="24"/>
        </w:rPr>
        <w:t>Технические характеристики поставляемого</w:t>
      </w:r>
      <w:r w:rsidRPr="00326E34">
        <w:rPr>
          <w:sz w:val="24"/>
        </w:rPr>
        <w:t xml:space="preserve"> товара должны соответствовать или превосходить характеристики, указанные в техническом задании.</w:t>
      </w:r>
    </w:p>
    <w:p w:rsidR="00EC19EA" w:rsidRDefault="00EC19EA" w:rsidP="00EC19EA">
      <w:pPr>
        <w:jc w:val="both"/>
      </w:pPr>
      <w:r>
        <w:t>2</w:t>
      </w:r>
      <w:r w:rsidRPr="008109CA">
        <w:t xml:space="preserve">.1. </w:t>
      </w: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EC19EA" w:rsidRDefault="00EC19EA" w:rsidP="00EC19EA">
      <w:pPr>
        <w:jc w:val="both"/>
      </w:pPr>
      <w:r>
        <w:t>2</w:t>
      </w:r>
      <w:r w:rsidRPr="0074609E">
        <w:t>.2.</w:t>
      </w:r>
      <w:r>
        <w:t xml:space="preserve"> </w:t>
      </w:r>
      <w:r w:rsidRPr="0074609E">
        <w:t xml:space="preserve">Подгузники для взрослых должны соответствовать требованиям стандарта ГОСТ </w:t>
      </w:r>
      <w:proofErr w:type="gramStart"/>
      <w:r w:rsidRPr="0074609E">
        <w:t>Р</w:t>
      </w:r>
      <w:proofErr w:type="gramEnd"/>
      <w:r w:rsidRPr="0074609E">
        <w:t xml:space="preserve"> 55082-2012 «Изделия бумажные медицинского назначения. Подгузники для взрослых. Общие технические условия».</w:t>
      </w:r>
    </w:p>
    <w:p w:rsidR="00EC19EA" w:rsidRPr="008109CA" w:rsidRDefault="00EC19EA" w:rsidP="00EC19EA">
      <w:pPr>
        <w:jc w:val="both"/>
      </w:pPr>
      <w:r>
        <w:t xml:space="preserve">2.3. </w:t>
      </w:r>
      <w:r w:rsidRPr="00F016DD">
        <w:t>Изделия должны быть новыми. Изделия должны быть свободными от прав третьих лиц</w:t>
      </w:r>
      <w:r w:rsidRPr="008109CA">
        <w:t>.</w:t>
      </w:r>
    </w:p>
    <w:p w:rsidR="00EC19EA" w:rsidRDefault="00EC19EA" w:rsidP="00EC19EA">
      <w:pPr>
        <w:jc w:val="both"/>
      </w:pPr>
      <w:r>
        <w:t>2.4</w:t>
      </w:r>
      <w:r w:rsidRPr="008109CA">
        <w:t xml:space="preserve">. </w:t>
      </w:r>
      <w:r>
        <w:rPr>
          <w:lang w:eastAsia="ar-SA"/>
        </w:rPr>
        <w:t>Изделие должно</w:t>
      </w:r>
      <w:r w:rsidRPr="008109CA">
        <w:rPr>
          <w:lang w:eastAsia="ar-SA"/>
        </w:rPr>
        <w:t xml:space="preserve"> отвечать следующим требованиям</w:t>
      </w:r>
      <w:r w:rsidRPr="008109CA">
        <w:rPr>
          <w:rStyle w:val="ac"/>
          <w:rFonts w:eastAsia="Calibri"/>
        </w:rPr>
        <w:t xml:space="preserve"> </w:t>
      </w:r>
      <w:r w:rsidRPr="008109CA">
        <w:rPr>
          <w:rStyle w:val="ac"/>
          <w:rFonts w:eastAsia="Calibri"/>
        </w:rPr>
        <w:footnoteReference w:id="1"/>
      </w:r>
      <w:r w:rsidRPr="008109CA">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611"/>
        <w:gridCol w:w="2285"/>
        <w:gridCol w:w="1701"/>
        <w:gridCol w:w="2552"/>
        <w:gridCol w:w="1134"/>
      </w:tblGrid>
      <w:tr w:rsidR="00EC19EA" w:rsidRPr="00B70232" w:rsidTr="00BA1E34">
        <w:trPr>
          <w:jc w:val="center"/>
        </w:trPr>
        <w:tc>
          <w:tcPr>
            <w:tcW w:w="640" w:type="dxa"/>
            <w:shd w:val="clear" w:color="auto" w:fill="auto"/>
          </w:tcPr>
          <w:p w:rsidR="00EC19EA" w:rsidRPr="00B70232" w:rsidRDefault="00EC19EA" w:rsidP="00BA1E34">
            <w:pPr>
              <w:pStyle w:val="af7"/>
              <w:widowControl w:val="0"/>
              <w:snapToGrid w:val="0"/>
              <w:jc w:val="center"/>
            </w:pPr>
            <w:r w:rsidRPr="00B70232">
              <w:rPr>
                <w:sz w:val="22"/>
                <w:szCs w:val="22"/>
              </w:rPr>
              <w:t xml:space="preserve">№ </w:t>
            </w:r>
            <w:proofErr w:type="spellStart"/>
            <w:proofErr w:type="gramStart"/>
            <w:r w:rsidRPr="00B70232">
              <w:rPr>
                <w:sz w:val="22"/>
                <w:szCs w:val="22"/>
              </w:rPr>
              <w:t>п</w:t>
            </w:r>
            <w:proofErr w:type="spellEnd"/>
            <w:proofErr w:type="gramEnd"/>
            <w:r w:rsidRPr="00B70232">
              <w:rPr>
                <w:sz w:val="22"/>
                <w:szCs w:val="22"/>
              </w:rPr>
              <w:t>/</w:t>
            </w:r>
            <w:proofErr w:type="spellStart"/>
            <w:r w:rsidRPr="00B70232">
              <w:rPr>
                <w:sz w:val="22"/>
                <w:szCs w:val="22"/>
              </w:rPr>
              <w:t>п</w:t>
            </w:r>
            <w:proofErr w:type="spellEnd"/>
          </w:p>
          <w:p w:rsidR="00EC19EA" w:rsidRPr="00B70232" w:rsidRDefault="00EC19EA" w:rsidP="00BA1E34">
            <w:pPr>
              <w:pStyle w:val="af7"/>
              <w:widowControl w:val="0"/>
              <w:snapToGrid w:val="0"/>
              <w:jc w:val="center"/>
            </w:pPr>
          </w:p>
        </w:tc>
        <w:tc>
          <w:tcPr>
            <w:tcW w:w="1611" w:type="dxa"/>
            <w:shd w:val="clear" w:color="auto" w:fill="auto"/>
          </w:tcPr>
          <w:p w:rsidR="00EC19EA" w:rsidRPr="00B70232" w:rsidRDefault="00EC19EA" w:rsidP="00BA1E34">
            <w:pPr>
              <w:pStyle w:val="af7"/>
              <w:widowControl w:val="0"/>
              <w:snapToGrid w:val="0"/>
              <w:jc w:val="center"/>
            </w:pPr>
            <w:r w:rsidRPr="00B70232">
              <w:rPr>
                <w:sz w:val="22"/>
                <w:szCs w:val="22"/>
              </w:rPr>
              <w:t>Наименование Изделия</w:t>
            </w:r>
          </w:p>
        </w:tc>
        <w:tc>
          <w:tcPr>
            <w:tcW w:w="2285" w:type="dxa"/>
            <w:shd w:val="clear" w:color="auto" w:fill="auto"/>
          </w:tcPr>
          <w:p w:rsidR="00EC19EA" w:rsidRPr="00B70232" w:rsidRDefault="00EC19EA" w:rsidP="00BA1E34">
            <w:pPr>
              <w:pStyle w:val="af7"/>
              <w:widowControl w:val="0"/>
              <w:snapToGrid w:val="0"/>
              <w:jc w:val="center"/>
            </w:pPr>
            <w:r w:rsidRPr="00B70232">
              <w:rPr>
                <w:sz w:val="22"/>
                <w:szCs w:val="22"/>
              </w:rPr>
              <w:t>Наименование характеристики</w:t>
            </w:r>
          </w:p>
        </w:tc>
        <w:tc>
          <w:tcPr>
            <w:tcW w:w="1701" w:type="dxa"/>
            <w:shd w:val="clear" w:color="auto" w:fill="auto"/>
          </w:tcPr>
          <w:p w:rsidR="00EC19EA" w:rsidRPr="00B70232" w:rsidRDefault="00EC19EA" w:rsidP="00BA1E34">
            <w:pPr>
              <w:pStyle w:val="af7"/>
              <w:widowControl w:val="0"/>
              <w:snapToGrid w:val="0"/>
              <w:jc w:val="center"/>
            </w:pPr>
            <w:r w:rsidRPr="00B70232">
              <w:rPr>
                <w:sz w:val="22"/>
                <w:szCs w:val="22"/>
              </w:rPr>
              <w:t>Показатель характеристики</w:t>
            </w:r>
          </w:p>
        </w:tc>
        <w:tc>
          <w:tcPr>
            <w:tcW w:w="2552" w:type="dxa"/>
          </w:tcPr>
          <w:p w:rsidR="00EC19EA" w:rsidRPr="00B70232" w:rsidRDefault="00EC19EA" w:rsidP="00BA1E34">
            <w:pPr>
              <w:widowControl w:val="0"/>
              <w:suppressAutoHyphens/>
              <w:snapToGrid w:val="0"/>
              <w:jc w:val="center"/>
            </w:pPr>
            <w:r w:rsidRPr="00B70232">
              <w:rPr>
                <w:sz w:val="22"/>
                <w:szCs w:val="22"/>
              </w:rPr>
              <w:t>ГОСТ, технический регламент/обоснование использования (в том числе его характеристика)</w:t>
            </w:r>
          </w:p>
        </w:tc>
        <w:tc>
          <w:tcPr>
            <w:tcW w:w="1134" w:type="dxa"/>
            <w:shd w:val="clear" w:color="auto" w:fill="auto"/>
          </w:tcPr>
          <w:p w:rsidR="00EC19EA" w:rsidRPr="00B70232" w:rsidRDefault="00EC19EA" w:rsidP="00BA1E34">
            <w:pPr>
              <w:pStyle w:val="af7"/>
              <w:widowControl w:val="0"/>
              <w:snapToGrid w:val="0"/>
              <w:jc w:val="center"/>
              <w:rPr>
                <w:lang w:val="en-US"/>
              </w:rPr>
            </w:pPr>
            <w:r w:rsidRPr="00B70232">
              <w:rPr>
                <w:sz w:val="22"/>
                <w:szCs w:val="22"/>
              </w:rPr>
              <w:t>Количество Изделий</w:t>
            </w:r>
          </w:p>
        </w:tc>
      </w:tr>
      <w:tr w:rsidR="00EC19EA" w:rsidRPr="00B70232" w:rsidTr="00BA1E34">
        <w:trPr>
          <w:trHeight w:val="325"/>
          <w:jc w:val="center"/>
        </w:trPr>
        <w:tc>
          <w:tcPr>
            <w:tcW w:w="640" w:type="dxa"/>
            <w:vMerge w:val="restart"/>
            <w:shd w:val="clear" w:color="auto" w:fill="auto"/>
          </w:tcPr>
          <w:p w:rsidR="00EC19EA" w:rsidRPr="00B70232" w:rsidRDefault="00EC19EA" w:rsidP="00BA1E34">
            <w:pPr>
              <w:jc w:val="center"/>
              <w:rPr>
                <w:lang w:eastAsia="en-US"/>
              </w:rPr>
            </w:pPr>
            <w:r>
              <w:rPr>
                <w:sz w:val="22"/>
                <w:szCs w:val="22"/>
                <w:lang w:eastAsia="en-US"/>
              </w:rPr>
              <w:t>1</w:t>
            </w:r>
            <w:r w:rsidRPr="00B70232">
              <w:rPr>
                <w:sz w:val="22"/>
                <w:szCs w:val="22"/>
                <w:lang w:eastAsia="en-US"/>
              </w:rPr>
              <w:t>.</w:t>
            </w:r>
          </w:p>
        </w:tc>
        <w:tc>
          <w:tcPr>
            <w:tcW w:w="1611" w:type="dxa"/>
            <w:vMerge w:val="restart"/>
            <w:shd w:val="clear" w:color="auto" w:fill="auto"/>
          </w:tcPr>
          <w:p w:rsidR="00EC19EA" w:rsidRPr="00B70232" w:rsidRDefault="00EC19EA" w:rsidP="00BA1E34">
            <w:pPr>
              <w:suppressAutoHyphens/>
              <w:spacing w:line="240" w:lineRule="atLeast"/>
              <w:jc w:val="center"/>
            </w:pPr>
            <w:r w:rsidRPr="00B70232">
              <w:rPr>
                <w:sz w:val="22"/>
                <w:szCs w:val="22"/>
                <w:lang w:eastAsia="en-US"/>
              </w:rPr>
              <w:t>Подгузники для взрослых, размер «</w:t>
            </w:r>
            <w:r>
              <w:rPr>
                <w:sz w:val="22"/>
                <w:szCs w:val="22"/>
                <w:lang w:eastAsia="en-US"/>
              </w:rPr>
              <w:t>Х</w:t>
            </w:r>
            <w:proofErr w:type="gramStart"/>
            <w:r w:rsidRPr="00B70232">
              <w:rPr>
                <w:sz w:val="22"/>
                <w:szCs w:val="22"/>
                <w:lang w:val="en-US" w:eastAsia="en-US"/>
              </w:rPr>
              <w:t>S</w:t>
            </w:r>
            <w:proofErr w:type="gramEnd"/>
            <w:r w:rsidRPr="00B70232">
              <w:rPr>
                <w:sz w:val="22"/>
                <w:szCs w:val="22"/>
                <w:lang w:eastAsia="en-US"/>
              </w:rPr>
              <w:t>»</w:t>
            </w:r>
          </w:p>
        </w:tc>
        <w:tc>
          <w:tcPr>
            <w:tcW w:w="2285" w:type="dxa"/>
            <w:shd w:val="clear" w:color="auto" w:fill="auto"/>
          </w:tcPr>
          <w:p w:rsidR="00EC19EA" w:rsidRPr="00B70232" w:rsidRDefault="00EC19EA" w:rsidP="00BA1E34">
            <w:pPr>
              <w:jc w:val="center"/>
            </w:pPr>
            <w:r w:rsidRPr="00B70232">
              <w:rPr>
                <w:sz w:val="22"/>
                <w:szCs w:val="22"/>
              </w:rPr>
              <w:t xml:space="preserve">Абсорбирующий слой из волокнистых полуфабрикатов, содержащих </w:t>
            </w:r>
            <w:proofErr w:type="spellStart"/>
            <w:r w:rsidRPr="00B70232">
              <w:rPr>
                <w:sz w:val="22"/>
                <w:szCs w:val="22"/>
              </w:rPr>
              <w:t>гелеобразующие</w:t>
            </w:r>
            <w:proofErr w:type="spellEnd"/>
            <w:r w:rsidRPr="00B70232">
              <w:rPr>
                <w:sz w:val="22"/>
                <w:szCs w:val="22"/>
              </w:rPr>
              <w:t xml:space="preserve"> </w:t>
            </w:r>
            <w:proofErr w:type="spellStart"/>
            <w:r w:rsidRPr="00B70232">
              <w:rPr>
                <w:sz w:val="22"/>
                <w:szCs w:val="22"/>
              </w:rPr>
              <w:t>влагопоглощающие</w:t>
            </w:r>
            <w:proofErr w:type="spellEnd"/>
            <w:r w:rsidRPr="00B70232">
              <w:rPr>
                <w:sz w:val="22"/>
                <w:szCs w:val="22"/>
              </w:rPr>
              <w:t xml:space="preserve"> вещества (</w:t>
            </w:r>
            <w:proofErr w:type="spellStart"/>
            <w:r w:rsidRPr="00B70232">
              <w:rPr>
                <w:sz w:val="22"/>
                <w:szCs w:val="22"/>
              </w:rPr>
              <w:t>суперабсорбенты</w:t>
            </w:r>
            <w:proofErr w:type="spellEnd"/>
            <w:r w:rsidRPr="00B70232">
              <w:rPr>
                <w:sz w:val="22"/>
                <w:szCs w:val="22"/>
              </w:rPr>
              <w:t>)</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3.1</w:t>
            </w:r>
          </w:p>
        </w:tc>
        <w:tc>
          <w:tcPr>
            <w:tcW w:w="1134" w:type="dxa"/>
            <w:vMerge w:val="restart"/>
            <w:shd w:val="clear" w:color="auto" w:fill="auto"/>
          </w:tcPr>
          <w:p w:rsidR="00EC19EA" w:rsidRDefault="00EC19EA" w:rsidP="00BA1E34">
            <w:pPr>
              <w:suppressAutoHyphens/>
              <w:spacing w:line="240" w:lineRule="atLeast"/>
              <w:jc w:val="center"/>
            </w:pPr>
            <w:r w:rsidRPr="008F115F">
              <w:t>45</w:t>
            </w:r>
            <w:r>
              <w:t xml:space="preserve"> </w:t>
            </w:r>
            <w:r w:rsidRPr="008F115F">
              <w:t>600</w:t>
            </w: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snapToGrid w:val="0"/>
              <w:jc w:val="center"/>
            </w:pPr>
            <w:proofErr w:type="gramStart"/>
            <w:r w:rsidRPr="00B70232">
              <w:rPr>
                <w:sz w:val="22"/>
                <w:szCs w:val="22"/>
              </w:rPr>
              <w:t>Техническое исполнение</w:t>
            </w:r>
            <w:proofErr w:type="gramEnd"/>
            <w:r w:rsidRPr="00B70232">
              <w:rPr>
                <w:sz w:val="22"/>
                <w:szCs w:val="22"/>
              </w:rPr>
              <w:t xml:space="preserve"> подгузников в виде раскроя трусов с фиксирующими элементами</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5.3</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jc w:val="center"/>
            </w:pPr>
            <w:r w:rsidRPr="00B70232">
              <w:rPr>
                <w:sz w:val="22"/>
                <w:szCs w:val="22"/>
              </w:rPr>
              <w:t xml:space="preserve">Фиксирующие элементы многократного </w:t>
            </w:r>
            <w:r w:rsidRPr="00B70232">
              <w:rPr>
                <w:sz w:val="22"/>
                <w:szCs w:val="22"/>
              </w:rPr>
              <w:lastRenderedPageBreak/>
              <w:t>использования</w:t>
            </w:r>
          </w:p>
        </w:tc>
        <w:tc>
          <w:tcPr>
            <w:tcW w:w="1701" w:type="dxa"/>
            <w:shd w:val="clear" w:color="auto" w:fill="auto"/>
          </w:tcPr>
          <w:p w:rsidR="00EC19EA" w:rsidRPr="00B70232" w:rsidRDefault="00EC19EA" w:rsidP="00BA1E34">
            <w:pPr>
              <w:jc w:val="center"/>
            </w:pPr>
            <w:r w:rsidRPr="00B70232">
              <w:rPr>
                <w:sz w:val="22"/>
                <w:szCs w:val="22"/>
              </w:rPr>
              <w:lastRenderedPageBreak/>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5.2.1</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jc w:val="center"/>
            </w:pPr>
            <w:r w:rsidRPr="00B70232">
              <w:rPr>
                <w:sz w:val="22"/>
                <w:szCs w:val="22"/>
              </w:rPr>
              <w:t>Барьерные элементы</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5.2.1</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jc w:val="center"/>
            </w:pPr>
            <w:r w:rsidRPr="00B70232">
              <w:rPr>
                <w:sz w:val="22"/>
                <w:szCs w:val="22"/>
              </w:rPr>
              <w:t xml:space="preserve">Полное влагопоглощение каждого из Изделий, обеспечивающих возможность их использования инвалидами с обхватом талии/бедер до </w:t>
            </w:r>
            <w:r>
              <w:rPr>
                <w:sz w:val="22"/>
                <w:szCs w:val="22"/>
              </w:rPr>
              <w:t>6</w:t>
            </w:r>
            <w:r w:rsidRPr="00B70232">
              <w:rPr>
                <w:sz w:val="22"/>
                <w:szCs w:val="22"/>
              </w:rPr>
              <w:t>0см</w:t>
            </w:r>
          </w:p>
        </w:tc>
        <w:tc>
          <w:tcPr>
            <w:tcW w:w="1701" w:type="dxa"/>
            <w:shd w:val="clear" w:color="auto" w:fill="auto"/>
          </w:tcPr>
          <w:p w:rsidR="00EC19EA" w:rsidRPr="00B70232" w:rsidRDefault="00EC19EA" w:rsidP="00BA1E34">
            <w:pPr>
              <w:jc w:val="center"/>
            </w:pPr>
            <w:r w:rsidRPr="00B70232">
              <w:rPr>
                <w:sz w:val="22"/>
                <w:szCs w:val="22"/>
              </w:rPr>
              <w:t>не менее 1</w:t>
            </w:r>
            <w:r>
              <w:rPr>
                <w:sz w:val="22"/>
                <w:szCs w:val="22"/>
              </w:rPr>
              <w:t>0</w:t>
            </w:r>
            <w:r w:rsidRPr="00B70232">
              <w:rPr>
                <w:sz w:val="22"/>
                <w:szCs w:val="22"/>
              </w:rPr>
              <w:t>00 г</w:t>
            </w:r>
          </w:p>
        </w:tc>
        <w:tc>
          <w:tcPr>
            <w:tcW w:w="2552" w:type="dxa"/>
          </w:tcPr>
          <w:p w:rsidR="00EC19EA" w:rsidRPr="00B70232" w:rsidRDefault="00EC19EA" w:rsidP="00BA1E34">
            <w:pPr>
              <w:pStyle w:val="af7"/>
              <w:widowControl w:val="0"/>
              <w:snapToGrid w:val="0"/>
              <w:jc w:val="center"/>
            </w:pPr>
            <w:r w:rsidRPr="00B70232">
              <w:rPr>
                <w:sz w:val="22"/>
                <w:szCs w:val="22"/>
              </w:rPr>
              <w:t xml:space="preserve">Приказ Министерства труда и социальной защиты РФ </w:t>
            </w:r>
            <w:r>
              <w:rPr>
                <w:sz w:val="22"/>
                <w:szCs w:val="22"/>
              </w:rPr>
              <w:t xml:space="preserve">от </w:t>
            </w:r>
            <w:r>
              <w:t>13 февраля 2018</w:t>
            </w:r>
            <w:r>
              <w:rPr>
                <w:sz w:val="22"/>
                <w:szCs w:val="22"/>
              </w:rPr>
              <w:t>. №86н</w:t>
            </w:r>
            <w:r w:rsidRPr="00B70232">
              <w:rPr>
                <w:sz w:val="22"/>
                <w:szCs w:val="22"/>
              </w:rPr>
              <w:t>, индивидуальные параметры получателя</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890DDA" w:rsidRDefault="00EC19EA" w:rsidP="00BA1E34">
            <w:pPr>
              <w:snapToGrid w:val="0"/>
              <w:spacing w:line="240" w:lineRule="atLeast"/>
              <w:jc w:val="center"/>
            </w:pPr>
            <w:r w:rsidRPr="00890DDA">
              <w:rPr>
                <w:rFonts w:eastAsia="Andale Sans UI"/>
                <w:sz w:val="22"/>
                <w:szCs w:val="22"/>
                <w:lang w:eastAsia="fa-IR" w:bidi="fa-IR"/>
              </w:rPr>
              <w:t xml:space="preserve">Обратная сорбция </w:t>
            </w:r>
            <w:r w:rsidRPr="00890DDA">
              <w:rPr>
                <w:sz w:val="22"/>
                <w:szCs w:val="22"/>
              </w:rPr>
              <w:t>не более 4,4 г</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5.10.2 таблица 2</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vAlign w:val="center"/>
          </w:tcPr>
          <w:p w:rsidR="00EC19EA" w:rsidRPr="00890DDA" w:rsidRDefault="00EC19EA" w:rsidP="00BA1E34">
            <w:pPr>
              <w:snapToGrid w:val="0"/>
              <w:jc w:val="center"/>
              <w:rPr>
                <w:rFonts w:eastAsia="Andale Sans UI"/>
                <w:lang w:eastAsia="fa-IR" w:bidi="fa-IR"/>
              </w:rPr>
            </w:pPr>
            <w:r w:rsidRPr="00890DDA">
              <w:rPr>
                <w:rFonts w:eastAsia="Andale Sans UI"/>
                <w:sz w:val="22"/>
                <w:szCs w:val="22"/>
                <w:lang w:eastAsia="fa-IR" w:bidi="fa-IR"/>
              </w:rPr>
              <w:t xml:space="preserve">Скорость впитывания </w:t>
            </w:r>
            <w:r w:rsidRPr="00890DDA">
              <w:rPr>
                <w:sz w:val="22"/>
                <w:szCs w:val="22"/>
              </w:rPr>
              <w:t>не менее 2,3 см³/мин</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5.10.2 таблица 2</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val="restart"/>
            <w:shd w:val="clear" w:color="auto" w:fill="auto"/>
          </w:tcPr>
          <w:p w:rsidR="00EC19EA" w:rsidRPr="00B70232" w:rsidRDefault="00EC19EA" w:rsidP="00BA1E34">
            <w:pPr>
              <w:jc w:val="center"/>
              <w:rPr>
                <w:bCs/>
              </w:rPr>
            </w:pPr>
            <w:r>
              <w:rPr>
                <w:sz w:val="22"/>
                <w:szCs w:val="22"/>
                <w:lang w:eastAsia="en-US"/>
              </w:rPr>
              <w:t>2</w:t>
            </w:r>
            <w:r w:rsidRPr="00B70232">
              <w:rPr>
                <w:sz w:val="22"/>
                <w:szCs w:val="22"/>
                <w:lang w:eastAsia="en-US"/>
              </w:rPr>
              <w:t>.</w:t>
            </w:r>
          </w:p>
        </w:tc>
        <w:tc>
          <w:tcPr>
            <w:tcW w:w="1611" w:type="dxa"/>
            <w:vMerge w:val="restart"/>
            <w:shd w:val="clear" w:color="auto" w:fill="auto"/>
          </w:tcPr>
          <w:p w:rsidR="00EC19EA" w:rsidRPr="00B70232" w:rsidRDefault="00EC19EA" w:rsidP="00BA1E34">
            <w:pPr>
              <w:suppressAutoHyphens/>
              <w:spacing w:line="240" w:lineRule="atLeast"/>
              <w:jc w:val="center"/>
              <w:rPr>
                <w:lang w:eastAsia="en-US"/>
              </w:rPr>
            </w:pPr>
            <w:r w:rsidRPr="00B70232">
              <w:rPr>
                <w:sz w:val="22"/>
                <w:szCs w:val="22"/>
                <w:lang w:eastAsia="en-US"/>
              </w:rPr>
              <w:t>Подгузники для взрослых, размер «</w:t>
            </w:r>
            <w:r>
              <w:rPr>
                <w:sz w:val="22"/>
                <w:szCs w:val="22"/>
                <w:lang w:eastAsia="en-US"/>
              </w:rPr>
              <w:t>Х</w:t>
            </w:r>
            <w:proofErr w:type="gramStart"/>
            <w:r w:rsidRPr="00B70232">
              <w:rPr>
                <w:sz w:val="22"/>
                <w:szCs w:val="22"/>
                <w:lang w:val="en-US" w:eastAsia="en-US"/>
              </w:rPr>
              <w:t>S</w:t>
            </w:r>
            <w:proofErr w:type="gramEnd"/>
            <w:r w:rsidRPr="00B70232">
              <w:rPr>
                <w:sz w:val="22"/>
                <w:szCs w:val="22"/>
                <w:lang w:eastAsia="en-US"/>
              </w:rPr>
              <w:t>»</w:t>
            </w:r>
          </w:p>
        </w:tc>
        <w:tc>
          <w:tcPr>
            <w:tcW w:w="2285" w:type="dxa"/>
            <w:shd w:val="clear" w:color="auto" w:fill="auto"/>
          </w:tcPr>
          <w:p w:rsidR="00EC19EA" w:rsidRPr="00B70232" w:rsidRDefault="00EC19EA" w:rsidP="00BA1E34">
            <w:pPr>
              <w:jc w:val="center"/>
            </w:pPr>
            <w:r w:rsidRPr="00B70232">
              <w:rPr>
                <w:sz w:val="22"/>
                <w:szCs w:val="22"/>
              </w:rPr>
              <w:t xml:space="preserve">Абсорбирующий слой из волокнистых полуфабрикатов, содержащих </w:t>
            </w:r>
            <w:proofErr w:type="spellStart"/>
            <w:r w:rsidRPr="00B70232">
              <w:rPr>
                <w:sz w:val="22"/>
                <w:szCs w:val="22"/>
              </w:rPr>
              <w:t>гелеобразующие</w:t>
            </w:r>
            <w:proofErr w:type="spellEnd"/>
            <w:r w:rsidRPr="00B70232">
              <w:rPr>
                <w:sz w:val="22"/>
                <w:szCs w:val="22"/>
              </w:rPr>
              <w:t xml:space="preserve"> </w:t>
            </w:r>
            <w:proofErr w:type="spellStart"/>
            <w:r w:rsidRPr="00B70232">
              <w:rPr>
                <w:sz w:val="22"/>
                <w:szCs w:val="22"/>
              </w:rPr>
              <w:t>влагопоглощающие</w:t>
            </w:r>
            <w:proofErr w:type="spellEnd"/>
            <w:r w:rsidRPr="00B70232">
              <w:rPr>
                <w:sz w:val="22"/>
                <w:szCs w:val="22"/>
              </w:rPr>
              <w:t xml:space="preserve"> вещества (</w:t>
            </w:r>
            <w:proofErr w:type="spellStart"/>
            <w:r w:rsidRPr="00B70232">
              <w:rPr>
                <w:sz w:val="22"/>
                <w:szCs w:val="22"/>
              </w:rPr>
              <w:t>суперабсорбенты</w:t>
            </w:r>
            <w:proofErr w:type="spellEnd"/>
            <w:r w:rsidRPr="00B70232">
              <w:rPr>
                <w:sz w:val="22"/>
                <w:szCs w:val="22"/>
              </w:rPr>
              <w:t>)</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3.1</w:t>
            </w:r>
          </w:p>
        </w:tc>
        <w:tc>
          <w:tcPr>
            <w:tcW w:w="1134" w:type="dxa"/>
            <w:vMerge w:val="restart"/>
            <w:shd w:val="clear" w:color="auto" w:fill="auto"/>
          </w:tcPr>
          <w:p w:rsidR="00EC19EA" w:rsidRPr="00B70232" w:rsidRDefault="00EC19EA" w:rsidP="00BA1E34">
            <w:pPr>
              <w:suppressAutoHyphens/>
              <w:spacing w:line="240" w:lineRule="atLeast"/>
              <w:jc w:val="center"/>
            </w:pPr>
            <w:r w:rsidRPr="008F115F">
              <w:t>15</w:t>
            </w:r>
            <w:r>
              <w:t xml:space="preserve"> </w:t>
            </w:r>
            <w:r w:rsidRPr="008F115F">
              <w:t>120</w:t>
            </w: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snapToGrid w:val="0"/>
              <w:jc w:val="center"/>
            </w:pPr>
            <w:proofErr w:type="gramStart"/>
            <w:r w:rsidRPr="00B70232">
              <w:rPr>
                <w:sz w:val="22"/>
                <w:szCs w:val="22"/>
              </w:rPr>
              <w:t>Техническое исполнение</w:t>
            </w:r>
            <w:proofErr w:type="gramEnd"/>
            <w:r w:rsidRPr="00B70232">
              <w:rPr>
                <w:sz w:val="22"/>
                <w:szCs w:val="22"/>
              </w:rPr>
              <w:t xml:space="preserve"> подгузников в виде раскроя трусов с фиксирующими элементами</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5.3</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jc w:val="center"/>
            </w:pPr>
            <w:r w:rsidRPr="00B70232">
              <w:rPr>
                <w:sz w:val="22"/>
                <w:szCs w:val="22"/>
              </w:rPr>
              <w:t>Фиксирующие элементы многократного использования</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5.2.1</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jc w:val="center"/>
            </w:pPr>
            <w:r w:rsidRPr="00B70232">
              <w:rPr>
                <w:sz w:val="22"/>
                <w:szCs w:val="22"/>
              </w:rPr>
              <w:t>Барьерные элементы</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5.2.1</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B70232" w:rsidRDefault="00EC19EA" w:rsidP="00BA1E34">
            <w:pPr>
              <w:jc w:val="center"/>
            </w:pPr>
            <w:r w:rsidRPr="00B70232">
              <w:rPr>
                <w:sz w:val="22"/>
                <w:szCs w:val="22"/>
              </w:rPr>
              <w:t xml:space="preserve">Полное влагопоглощение каждого из Изделий, обеспечивающих возможность их использования инвалидами с обхватом талии/бедер до </w:t>
            </w:r>
            <w:r>
              <w:rPr>
                <w:sz w:val="22"/>
                <w:szCs w:val="22"/>
              </w:rPr>
              <w:t>60</w:t>
            </w:r>
            <w:r w:rsidRPr="00B70232">
              <w:rPr>
                <w:sz w:val="22"/>
                <w:szCs w:val="22"/>
              </w:rPr>
              <w:t>см</w:t>
            </w:r>
          </w:p>
        </w:tc>
        <w:tc>
          <w:tcPr>
            <w:tcW w:w="1701" w:type="dxa"/>
            <w:shd w:val="clear" w:color="auto" w:fill="auto"/>
          </w:tcPr>
          <w:p w:rsidR="00EC19EA" w:rsidRPr="00B70232" w:rsidRDefault="00EC19EA" w:rsidP="00BA1E34">
            <w:pPr>
              <w:snapToGrid w:val="0"/>
              <w:jc w:val="center"/>
            </w:pPr>
            <w:r w:rsidRPr="00B70232">
              <w:rPr>
                <w:sz w:val="22"/>
                <w:szCs w:val="22"/>
              </w:rPr>
              <w:t>не менее 1</w:t>
            </w:r>
            <w:r>
              <w:rPr>
                <w:sz w:val="22"/>
                <w:szCs w:val="22"/>
              </w:rPr>
              <w:t>2</w:t>
            </w:r>
            <w:r w:rsidRPr="00B70232">
              <w:rPr>
                <w:sz w:val="22"/>
                <w:szCs w:val="22"/>
              </w:rPr>
              <w:t>00 г</w:t>
            </w:r>
          </w:p>
          <w:p w:rsidR="00EC19EA" w:rsidRPr="00B70232" w:rsidRDefault="00EC19EA" w:rsidP="00BA1E34">
            <w:pPr>
              <w:jc w:val="center"/>
            </w:pPr>
          </w:p>
        </w:tc>
        <w:tc>
          <w:tcPr>
            <w:tcW w:w="2552" w:type="dxa"/>
          </w:tcPr>
          <w:p w:rsidR="00EC19EA" w:rsidRPr="00B70232" w:rsidRDefault="00EC19EA" w:rsidP="00BA1E34">
            <w:pPr>
              <w:pStyle w:val="af7"/>
              <w:widowControl w:val="0"/>
              <w:snapToGrid w:val="0"/>
              <w:jc w:val="center"/>
            </w:pPr>
            <w:r w:rsidRPr="00B70232">
              <w:rPr>
                <w:sz w:val="22"/>
                <w:szCs w:val="22"/>
              </w:rPr>
              <w:t xml:space="preserve">Приказ Министерства труда и социальной защиты РФ </w:t>
            </w:r>
            <w:r>
              <w:rPr>
                <w:sz w:val="22"/>
                <w:szCs w:val="22"/>
              </w:rPr>
              <w:t xml:space="preserve">от </w:t>
            </w:r>
            <w:r>
              <w:t>13 февраля 2018</w:t>
            </w:r>
            <w:r>
              <w:rPr>
                <w:sz w:val="22"/>
                <w:szCs w:val="22"/>
              </w:rPr>
              <w:t>. №86н</w:t>
            </w:r>
            <w:r w:rsidRPr="00B70232">
              <w:rPr>
                <w:sz w:val="22"/>
                <w:szCs w:val="22"/>
              </w:rPr>
              <w:t>, индивидуальные параметры получателя</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tcPr>
          <w:p w:rsidR="00EC19EA" w:rsidRPr="00890DDA" w:rsidRDefault="00EC19EA" w:rsidP="00BA1E34">
            <w:pPr>
              <w:snapToGrid w:val="0"/>
              <w:spacing w:line="240" w:lineRule="atLeast"/>
              <w:jc w:val="center"/>
            </w:pPr>
            <w:r w:rsidRPr="00890DDA">
              <w:rPr>
                <w:rFonts w:eastAsia="Andale Sans UI"/>
                <w:sz w:val="22"/>
                <w:szCs w:val="22"/>
                <w:lang w:eastAsia="fa-IR" w:bidi="fa-IR"/>
              </w:rPr>
              <w:t xml:space="preserve">Обратная сорбция </w:t>
            </w:r>
            <w:r w:rsidRPr="00890DDA">
              <w:rPr>
                <w:sz w:val="22"/>
                <w:szCs w:val="22"/>
              </w:rPr>
              <w:t xml:space="preserve">не </w:t>
            </w:r>
            <w:r w:rsidRPr="00890DDA">
              <w:rPr>
                <w:sz w:val="22"/>
                <w:szCs w:val="22"/>
              </w:rPr>
              <w:lastRenderedPageBreak/>
              <w:t>более 4,4 г</w:t>
            </w:r>
          </w:p>
        </w:tc>
        <w:tc>
          <w:tcPr>
            <w:tcW w:w="1701" w:type="dxa"/>
            <w:shd w:val="clear" w:color="auto" w:fill="auto"/>
          </w:tcPr>
          <w:p w:rsidR="00EC19EA" w:rsidRPr="00B70232" w:rsidRDefault="00EC19EA" w:rsidP="00BA1E34">
            <w:pPr>
              <w:jc w:val="center"/>
            </w:pPr>
            <w:r w:rsidRPr="00B70232">
              <w:rPr>
                <w:sz w:val="22"/>
                <w:szCs w:val="22"/>
              </w:rPr>
              <w:lastRenderedPageBreak/>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5.10.2 таблица 2</w:t>
            </w:r>
          </w:p>
        </w:tc>
        <w:tc>
          <w:tcPr>
            <w:tcW w:w="1134" w:type="dxa"/>
            <w:vMerge/>
            <w:shd w:val="clear" w:color="auto" w:fill="auto"/>
          </w:tcPr>
          <w:p w:rsidR="00EC19EA" w:rsidRDefault="00EC19EA" w:rsidP="00BA1E34">
            <w:pPr>
              <w:suppressAutoHyphens/>
              <w:spacing w:line="240" w:lineRule="atLeast"/>
              <w:jc w:val="center"/>
            </w:pPr>
          </w:p>
        </w:tc>
      </w:tr>
      <w:tr w:rsidR="00EC19EA" w:rsidRPr="00B70232" w:rsidTr="00BA1E34">
        <w:trPr>
          <w:trHeight w:val="325"/>
          <w:jc w:val="center"/>
        </w:trPr>
        <w:tc>
          <w:tcPr>
            <w:tcW w:w="640" w:type="dxa"/>
            <w:vMerge/>
            <w:shd w:val="clear" w:color="auto" w:fill="auto"/>
          </w:tcPr>
          <w:p w:rsidR="00EC19EA" w:rsidRPr="00B70232" w:rsidRDefault="00EC19EA" w:rsidP="00BA1E34">
            <w:pPr>
              <w:jc w:val="center"/>
              <w:rPr>
                <w:lang w:eastAsia="en-US"/>
              </w:rPr>
            </w:pPr>
          </w:p>
        </w:tc>
        <w:tc>
          <w:tcPr>
            <w:tcW w:w="1611" w:type="dxa"/>
            <w:vMerge/>
            <w:shd w:val="clear" w:color="auto" w:fill="auto"/>
          </w:tcPr>
          <w:p w:rsidR="00EC19EA" w:rsidRPr="00B70232" w:rsidRDefault="00EC19EA" w:rsidP="00BA1E34">
            <w:pPr>
              <w:suppressAutoHyphens/>
              <w:spacing w:line="240" w:lineRule="atLeast"/>
              <w:jc w:val="center"/>
              <w:rPr>
                <w:lang w:eastAsia="en-US"/>
              </w:rPr>
            </w:pPr>
          </w:p>
        </w:tc>
        <w:tc>
          <w:tcPr>
            <w:tcW w:w="2285" w:type="dxa"/>
            <w:shd w:val="clear" w:color="auto" w:fill="auto"/>
            <w:vAlign w:val="center"/>
          </w:tcPr>
          <w:p w:rsidR="00EC19EA" w:rsidRPr="00890DDA" w:rsidRDefault="00EC19EA" w:rsidP="00BA1E34">
            <w:pPr>
              <w:snapToGrid w:val="0"/>
              <w:jc w:val="center"/>
              <w:rPr>
                <w:rFonts w:eastAsia="Andale Sans UI"/>
                <w:lang w:eastAsia="fa-IR" w:bidi="fa-IR"/>
              </w:rPr>
            </w:pPr>
            <w:r w:rsidRPr="00890DDA">
              <w:rPr>
                <w:rFonts w:eastAsia="Andale Sans UI"/>
                <w:sz w:val="22"/>
                <w:szCs w:val="22"/>
                <w:lang w:eastAsia="fa-IR" w:bidi="fa-IR"/>
              </w:rPr>
              <w:t xml:space="preserve">Скорость впитывания </w:t>
            </w:r>
            <w:r w:rsidRPr="00890DDA">
              <w:rPr>
                <w:sz w:val="22"/>
                <w:szCs w:val="22"/>
              </w:rPr>
              <w:t>не менее 2,3 см³/мин</w:t>
            </w:r>
          </w:p>
        </w:tc>
        <w:tc>
          <w:tcPr>
            <w:tcW w:w="1701" w:type="dxa"/>
            <w:shd w:val="clear" w:color="auto" w:fill="auto"/>
          </w:tcPr>
          <w:p w:rsidR="00EC19EA" w:rsidRPr="00B70232" w:rsidRDefault="00EC19EA" w:rsidP="00BA1E34">
            <w:pPr>
              <w:jc w:val="center"/>
            </w:pPr>
            <w:r w:rsidRPr="00B70232">
              <w:rPr>
                <w:sz w:val="22"/>
                <w:szCs w:val="22"/>
              </w:rPr>
              <w:t>наличие</w:t>
            </w:r>
          </w:p>
        </w:tc>
        <w:tc>
          <w:tcPr>
            <w:tcW w:w="2552" w:type="dxa"/>
          </w:tcPr>
          <w:p w:rsidR="00EC19EA" w:rsidRPr="00B70232" w:rsidRDefault="00EC19EA" w:rsidP="00BA1E34">
            <w:pPr>
              <w:pStyle w:val="af7"/>
              <w:widowControl w:val="0"/>
              <w:snapToGrid w:val="0"/>
              <w:jc w:val="center"/>
            </w:pPr>
            <w:r w:rsidRPr="00B70232">
              <w:rPr>
                <w:sz w:val="22"/>
                <w:szCs w:val="22"/>
              </w:rPr>
              <w:t xml:space="preserve">ГОСТ </w:t>
            </w:r>
            <w:proofErr w:type="gramStart"/>
            <w:r w:rsidRPr="00B70232">
              <w:rPr>
                <w:sz w:val="22"/>
                <w:szCs w:val="22"/>
              </w:rPr>
              <w:t>Р</w:t>
            </w:r>
            <w:proofErr w:type="gramEnd"/>
            <w:r w:rsidRPr="00B70232">
              <w:rPr>
                <w:sz w:val="22"/>
                <w:szCs w:val="22"/>
              </w:rPr>
              <w:t xml:space="preserve"> 55082-2012, п. 5.10.2 таблица 2</w:t>
            </w:r>
          </w:p>
        </w:tc>
        <w:tc>
          <w:tcPr>
            <w:tcW w:w="1134" w:type="dxa"/>
            <w:vMerge/>
            <w:shd w:val="clear" w:color="auto" w:fill="auto"/>
          </w:tcPr>
          <w:p w:rsidR="00EC19EA" w:rsidRDefault="00EC19EA" w:rsidP="00BA1E34">
            <w:pPr>
              <w:suppressAutoHyphens/>
              <w:spacing w:line="240" w:lineRule="atLeast"/>
              <w:jc w:val="center"/>
            </w:pPr>
          </w:p>
        </w:tc>
      </w:tr>
    </w:tbl>
    <w:p w:rsidR="00EC19EA" w:rsidRDefault="00EC19EA" w:rsidP="00EC19EA">
      <w:pPr>
        <w:pStyle w:val="af6"/>
        <w:ind w:firstLine="567"/>
        <w:jc w:val="both"/>
        <w:rPr>
          <w:sz w:val="24"/>
        </w:rPr>
      </w:pPr>
    </w:p>
    <w:p w:rsidR="00EC19EA" w:rsidRPr="00FD46D0" w:rsidRDefault="00EC19EA" w:rsidP="00EC19EA">
      <w:pPr>
        <w:pStyle w:val="af6"/>
        <w:ind w:firstLine="567"/>
        <w:jc w:val="both"/>
        <w:rPr>
          <w:sz w:val="24"/>
        </w:rPr>
      </w:pPr>
      <w:r w:rsidRPr="00FD46D0">
        <w:rPr>
          <w:sz w:val="24"/>
        </w:rPr>
        <w:t>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w:t>
      </w:r>
      <w:proofErr w:type="spellStart"/>
      <w:proofErr w:type="gramStart"/>
      <w:r w:rsidRPr="00FD46D0">
        <w:rPr>
          <w:sz w:val="24"/>
        </w:rPr>
        <w:t>п</w:t>
      </w:r>
      <w:proofErr w:type="spellEnd"/>
      <w:proofErr w:type="gramEnd"/>
      <w:r w:rsidRPr="00FD46D0">
        <w:rPr>
          <w:sz w:val="24"/>
        </w:rPr>
        <w:t xml:space="preserve"> 4.11.5 ГОСТ Р 51632-2014 «Технические средства реабилитации людей с ограничениями жизнедеятельности. </w:t>
      </w:r>
      <w:proofErr w:type="gramStart"/>
      <w:r w:rsidRPr="00FD46D0">
        <w:rPr>
          <w:sz w:val="24"/>
        </w:rPr>
        <w:t>Общие технические требования и методы испытаний»).</w:t>
      </w:r>
      <w:proofErr w:type="gramEnd"/>
    </w:p>
    <w:p w:rsidR="00EC19EA" w:rsidRPr="005269A8" w:rsidRDefault="00EC19EA" w:rsidP="00EC19EA">
      <w:pPr>
        <w:pStyle w:val="af6"/>
        <w:numPr>
          <w:ilvl w:val="0"/>
          <w:numId w:val="16"/>
        </w:numPr>
        <w:rPr>
          <w:b/>
          <w:sz w:val="24"/>
        </w:rPr>
      </w:pPr>
      <w:r w:rsidRPr="005269A8">
        <w:rPr>
          <w:b/>
          <w:sz w:val="24"/>
        </w:rPr>
        <w:t>Требования к внешнему виду.</w:t>
      </w:r>
    </w:p>
    <w:p w:rsidR="00EC19EA" w:rsidRPr="005269A8" w:rsidRDefault="00EC19EA" w:rsidP="00EC19EA">
      <w:pPr>
        <w:pStyle w:val="af6"/>
        <w:ind w:firstLine="567"/>
        <w:jc w:val="both"/>
        <w:rPr>
          <w:sz w:val="24"/>
        </w:rPr>
      </w:pPr>
      <w:r w:rsidRPr="005269A8">
        <w:rPr>
          <w:sz w:val="24"/>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EC19EA" w:rsidRPr="005269A8" w:rsidRDefault="00EC19EA" w:rsidP="00EC19EA">
      <w:pPr>
        <w:pStyle w:val="af6"/>
        <w:ind w:firstLine="567"/>
        <w:jc w:val="both"/>
        <w:rPr>
          <w:sz w:val="24"/>
        </w:rPr>
      </w:pPr>
      <w:r w:rsidRPr="005269A8">
        <w:rPr>
          <w:sz w:val="24"/>
        </w:rPr>
        <w:t xml:space="preserve">Печатное изображение на подгузниках должно быть четким, без искажений и пробелов. Не допускаются следы </w:t>
      </w:r>
      <w:proofErr w:type="spellStart"/>
      <w:r w:rsidRPr="005269A8">
        <w:rPr>
          <w:sz w:val="24"/>
        </w:rPr>
        <w:t>выщипывания</w:t>
      </w:r>
      <w:proofErr w:type="spellEnd"/>
      <w:r w:rsidRPr="005269A8">
        <w:rPr>
          <w:sz w:val="24"/>
        </w:rPr>
        <w:t xml:space="preserve"> волокон с поверхности подгузника и </w:t>
      </w:r>
      <w:proofErr w:type="spellStart"/>
      <w:r w:rsidRPr="005269A8">
        <w:rPr>
          <w:sz w:val="24"/>
        </w:rPr>
        <w:t>отмарывание</w:t>
      </w:r>
      <w:proofErr w:type="spellEnd"/>
      <w:r w:rsidRPr="005269A8">
        <w:rPr>
          <w:sz w:val="24"/>
        </w:rPr>
        <w:t xml:space="preserve"> краски.</w:t>
      </w:r>
    </w:p>
    <w:p w:rsidR="00EC19EA" w:rsidRPr="005269A8" w:rsidRDefault="00EC19EA" w:rsidP="00EC19EA">
      <w:pPr>
        <w:pStyle w:val="af6"/>
        <w:numPr>
          <w:ilvl w:val="0"/>
          <w:numId w:val="16"/>
        </w:numPr>
        <w:rPr>
          <w:b/>
          <w:sz w:val="24"/>
        </w:rPr>
      </w:pPr>
      <w:r w:rsidRPr="005269A8">
        <w:rPr>
          <w:b/>
          <w:sz w:val="24"/>
        </w:rPr>
        <w:t>Требования к безопасности товара.</w:t>
      </w:r>
    </w:p>
    <w:p w:rsidR="00EC19EA" w:rsidRPr="005269A8" w:rsidRDefault="00EC19EA" w:rsidP="00EC19EA">
      <w:pPr>
        <w:pStyle w:val="af6"/>
        <w:ind w:firstLine="567"/>
        <w:jc w:val="both"/>
        <w:rPr>
          <w:sz w:val="24"/>
        </w:rPr>
      </w:pPr>
      <w:r w:rsidRPr="005269A8">
        <w:rPr>
          <w:sz w:val="24"/>
        </w:rPr>
        <w:t xml:space="preserve">Гигиенические показатели подгузников, обеспечивающие их безопасность для здоровья человека, должны соответствовать нормативам согласно ГОСТ ISO 10993 и </w:t>
      </w:r>
      <w:proofErr w:type="gramStart"/>
      <w:r w:rsidRPr="005269A8">
        <w:rPr>
          <w:sz w:val="24"/>
        </w:rPr>
        <w:t>нормативам</w:t>
      </w:r>
      <w:proofErr w:type="gramEnd"/>
      <w:r w:rsidRPr="005269A8">
        <w:rPr>
          <w:sz w:val="24"/>
        </w:rPr>
        <w:t xml:space="preserve">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EC19EA" w:rsidRPr="005269A8" w:rsidRDefault="00EC19EA" w:rsidP="00EC19EA">
      <w:pPr>
        <w:pStyle w:val="af6"/>
        <w:ind w:firstLine="567"/>
        <w:jc w:val="both"/>
        <w:rPr>
          <w:sz w:val="24"/>
        </w:rPr>
      </w:pPr>
      <w:r w:rsidRPr="005269A8">
        <w:rPr>
          <w:sz w:val="24"/>
        </w:rPr>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EC19EA" w:rsidRPr="005269A8" w:rsidRDefault="00EC19EA" w:rsidP="00EC19EA">
      <w:pPr>
        <w:pStyle w:val="af6"/>
        <w:ind w:firstLine="567"/>
        <w:jc w:val="both"/>
        <w:rPr>
          <w:sz w:val="24"/>
        </w:rPr>
      </w:pPr>
      <w:r w:rsidRPr="005269A8">
        <w:rPr>
          <w:sz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269A8">
        <w:rPr>
          <w:sz w:val="24"/>
        </w:rPr>
        <w:t>Роспотребнадзора</w:t>
      </w:r>
      <w:proofErr w:type="spellEnd"/>
      <w:r w:rsidRPr="005269A8">
        <w:rPr>
          <w:sz w:val="24"/>
        </w:rPr>
        <w:t>) и обеспечивающих безопасность и функциональное назначение подгузников.</w:t>
      </w:r>
    </w:p>
    <w:p w:rsidR="00EC19EA" w:rsidRPr="005269A8" w:rsidRDefault="00EC19EA" w:rsidP="00EC19EA">
      <w:pPr>
        <w:pStyle w:val="af6"/>
        <w:numPr>
          <w:ilvl w:val="0"/>
          <w:numId w:val="16"/>
        </w:numPr>
        <w:rPr>
          <w:b/>
          <w:sz w:val="24"/>
        </w:rPr>
      </w:pPr>
      <w:r w:rsidRPr="005269A8">
        <w:rPr>
          <w:b/>
          <w:sz w:val="24"/>
        </w:rPr>
        <w:t>Требования к упаковке и транспортировке.</w:t>
      </w:r>
    </w:p>
    <w:p w:rsidR="00EC19EA" w:rsidRPr="005269A8" w:rsidRDefault="00EC19EA" w:rsidP="00EC19EA">
      <w:pPr>
        <w:pStyle w:val="af6"/>
        <w:ind w:firstLine="567"/>
        <w:jc w:val="both"/>
        <w:rPr>
          <w:sz w:val="24"/>
        </w:rPr>
      </w:pPr>
      <w:r w:rsidRPr="005269A8">
        <w:rPr>
          <w:sz w:val="24"/>
        </w:rPr>
        <w:t xml:space="preserve">Подгузники для взрослых в количестве, определяемом производителем, должны быть упакованы в пакеты из полимерной пленки или пачки, или коробки, или другую потребительскую упаковку, обеспечивающую сохранность абсорбирующего белья, подгузников при транспортировке и хранении. Швы в пакетах из полимерной пленки должны быть заварены. </w:t>
      </w:r>
    </w:p>
    <w:p w:rsidR="00EC19EA" w:rsidRPr="005269A8" w:rsidRDefault="00EC19EA" w:rsidP="00EC19EA">
      <w:pPr>
        <w:pStyle w:val="af6"/>
        <w:ind w:firstLine="567"/>
        <w:jc w:val="both"/>
        <w:rPr>
          <w:sz w:val="24"/>
        </w:rPr>
      </w:pPr>
      <w:r w:rsidRPr="005269A8">
        <w:rPr>
          <w:sz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C19EA" w:rsidRPr="005269A8" w:rsidRDefault="00EC19EA" w:rsidP="00EC19EA">
      <w:pPr>
        <w:pStyle w:val="af6"/>
        <w:ind w:firstLine="567"/>
        <w:jc w:val="both"/>
        <w:rPr>
          <w:sz w:val="24"/>
        </w:rPr>
      </w:pPr>
      <w:r w:rsidRPr="005269A8">
        <w:rPr>
          <w:sz w:val="24"/>
        </w:rPr>
        <w:t>Не допускается механическое повреждение упаковки, открывающее доступ к поверхности абсорбирующего белья, подгузника.</w:t>
      </w:r>
    </w:p>
    <w:p w:rsidR="00EC19EA" w:rsidRPr="005269A8" w:rsidRDefault="00EC19EA" w:rsidP="00EC19EA">
      <w:pPr>
        <w:pStyle w:val="af6"/>
        <w:ind w:firstLine="567"/>
        <w:jc w:val="both"/>
        <w:rPr>
          <w:sz w:val="24"/>
        </w:rPr>
      </w:pPr>
      <w:r w:rsidRPr="005269A8">
        <w:rPr>
          <w:sz w:val="24"/>
        </w:rPr>
        <w:t>Маркировка на потребительской упаковке абсорбирующего белья, подгузников должна содержать:</w:t>
      </w:r>
    </w:p>
    <w:p w:rsidR="00EC19EA" w:rsidRPr="005269A8" w:rsidRDefault="00EC19EA" w:rsidP="00EC19EA">
      <w:pPr>
        <w:pStyle w:val="af6"/>
        <w:ind w:firstLine="567"/>
        <w:jc w:val="both"/>
        <w:rPr>
          <w:sz w:val="24"/>
        </w:rPr>
      </w:pPr>
      <w:r w:rsidRPr="005269A8">
        <w:rPr>
          <w:sz w:val="24"/>
        </w:rPr>
        <w:t>- наименование страны-изготовителя;</w:t>
      </w:r>
    </w:p>
    <w:p w:rsidR="00EC19EA" w:rsidRPr="005269A8" w:rsidRDefault="00EC19EA" w:rsidP="00EC19EA">
      <w:pPr>
        <w:pStyle w:val="af6"/>
        <w:ind w:firstLine="567"/>
        <w:jc w:val="both"/>
        <w:rPr>
          <w:sz w:val="24"/>
        </w:rPr>
      </w:pPr>
      <w:r w:rsidRPr="005269A8">
        <w:rPr>
          <w:sz w:val="24"/>
        </w:rPr>
        <w:t>- наименование и местонахождение изготовителя (продавца, поставщика), товарный знак (при наличии);</w:t>
      </w:r>
    </w:p>
    <w:p w:rsidR="00EC19EA" w:rsidRPr="005269A8" w:rsidRDefault="00EC19EA" w:rsidP="00EC19EA">
      <w:pPr>
        <w:pStyle w:val="af6"/>
        <w:ind w:firstLine="567"/>
        <w:jc w:val="both"/>
        <w:rPr>
          <w:sz w:val="24"/>
        </w:rPr>
      </w:pPr>
      <w:r w:rsidRPr="005269A8">
        <w:rPr>
          <w:sz w:val="24"/>
        </w:rPr>
        <w:lastRenderedPageBreak/>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C19EA" w:rsidRPr="005269A8" w:rsidRDefault="00EC19EA" w:rsidP="00EC19EA">
      <w:pPr>
        <w:pStyle w:val="af6"/>
        <w:ind w:firstLine="567"/>
        <w:jc w:val="both"/>
        <w:rPr>
          <w:sz w:val="24"/>
        </w:rPr>
      </w:pPr>
      <w:r w:rsidRPr="005269A8">
        <w:rPr>
          <w:sz w:val="24"/>
        </w:rPr>
        <w:t>- правила по применению (в виде рисунков или текста);</w:t>
      </w:r>
    </w:p>
    <w:p w:rsidR="00EC19EA" w:rsidRPr="005269A8" w:rsidRDefault="00EC19EA" w:rsidP="00EC19EA">
      <w:pPr>
        <w:pStyle w:val="af6"/>
        <w:ind w:firstLine="567"/>
        <w:jc w:val="both"/>
        <w:rPr>
          <w:sz w:val="24"/>
        </w:rPr>
      </w:pPr>
      <w:r w:rsidRPr="005269A8">
        <w:rPr>
          <w:sz w:val="24"/>
        </w:rPr>
        <w:t>- указания по утилизации: слова "Не бросать в канализацию" и/или рисунок, понятно отображающий эти указания;</w:t>
      </w:r>
    </w:p>
    <w:p w:rsidR="00EC19EA" w:rsidRPr="005269A8" w:rsidRDefault="00EC19EA" w:rsidP="00EC19EA">
      <w:pPr>
        <w:pStyle w:val="af6"/>
        <w:ind w:firstLine="567"/>
        <w:jc w:val="both"/>
        <w:rPr>
          <w:sz w:val="24"/>
        </w:rPr>
      </w:pPr>
      <w:r w:rsidRPr="005269A8">
        <w:rPr>
          <w:sz w:val="24"/>
        </w:rPr>
        <w:t xml:space="preserve">- информацию о наличии специальных ингредиентов;   </w:t>
      </w:r>
    </w:p>
    <w:p w:rsidR="00EC19EA" w:rsidRPr="005269A8" w:rsidRDefault="00EC19EA" w:rsidP="00EC19EA">
      <w:pPr>
        <w:pStyle w:val="af6"/>
        <w:ind w:firstLine="567"/>
        <w:jc w:val="both"/>
        <w:rPr>
          <w:sz w:val="24"/>
        </w:rPr>
      </w:pPr>
      <w:proofErr w:type="gramStart"/>
      <w:r w:rsidRPr="005269A8">
        <w:rPr>
          <w:sz w:val="24"/>
        </w:rPr>
        <w:t>- отличительные характеристики подгузника в соответствии с техническим исполнением (в виде рисунков и/или текста</w:t>
      </w:r>
      <w:proofErr w:type="gramEnd"/>
    </w:p>
    <w:p w:rsidR="00EC19EA" w:rsidRPr="005269A8" w:rsidRDefault="00EC19EA" w:rsidP="00EC19EA">
      <w:pPr>
        <w:pStyle w:val="af6"/>
        <w:ind w:firstLine="567"/>
        <w:jc w:val="both"/>
        <w:rPr>
          <w:sz w:val="24"/>
        </w:rPr>
      </w:pPr>
      <w:r w:rsidRPr="005269A8">
        <w:rPr>
          <w:sz w:val="24"/>
        </w:rPr>
        <w:t>- номер артикула (при наличии);</w:t>
      </w:r>
    </w:p>
    <w:p w:rsidR="00EC19EA" w:rsidRPr="005269A8" w:rsidRDefault="00EC19EA" w:rsidP="00EC19EA">
      <w:pPr>
        <w:pStyle w:val="af6"/>
        <w:ind w:firstLine="567"/>
        <w:jc w:val="both"/>
        <w:rPr>
          <w:sz w:val="24"/>
        </w:rPr>
      </w:pPr>
      <w:r w:rsidRPr="005269A8">
        <w:rPr>
          <w:sz w:val="24"/>
        </w:rPr>
        <w:t>- количество в упаковке;</w:t>
      </w:r>
    </w:p>
    <w:p w:rsidR="00EC19EA" w:rsidRPr="005269A8" w:rsidRDefault="00EC19EA" w:rsidP="00EC19EA">
      <w:pPr>
        <w:pStyle w:val="af6"/>
        <w:ind w:firstLine="567"/>
        <w:jc w:val="both"/>
        <w:rPr>
          <w:sz w:val="24"/>
        </w:rPr>
      </w:pPr>
      <w:r w:rsidRPr="005269A8">
        <w:rPr>
          <w:sz w:val="24"/>
        </w:rPr>
        <w:t>- дату (месяц, год) изготовления;</w:t>
      </w:r>
    </w:p>
    <w:p w:rsidR="00EC19EA" w:rsidRPr="005269A8" w:rsidRDefault="00EC19EA" w:rsidP="00EC19EA">
      <w:pPr>
        <w:pStyle w:val="af6"/>
        <w:ind w:firstLine="567"/>
        <w:jc w:val="both"/>
        <w:rPr>
          <w:sz w:val="24"/>
        </w:rPr>
      </w:pPr>
      <w:r w:rsidRPr="005269A8">
        <w:rPr>
          <w:sz w:val="24"/>
        </w:rPr>
        <w:t>- срок годности, устанавливаемый изготовителем;</w:t>
      </w:r>
    </w:p>
    <w:p w:rsidR="00EC19EA" w:rsidRPr="005269A8" w:rsidRDefault="00EC19EA" w:rsidP="00EC19EA">
      <w:pPr>
        <w:pStyle w:val="af6"/>
        <w:ind w:firstLine="567"/>
        <w:jc w:val="both"/>
        <w:rPr>
          <w:sz w:val="24"/>
        </w:rPr>
      </w:pPr>
      <w:r w:rsidRPr="005269A8">
        <w:rPr>
          <w:sz w:val="24"/>
        </w:rPr>
        <w:t xml:space="preserve">- обозначение ГОСТ </w:t>
      </w:r>
      <w:proofErr w:type="gramStart"/>
      <w:r w:rsidRPr="005269A8">
        <w:rPr>
          <w:sz w:val="24"/>
        </w:rPr>
        <w:t>Р</w:t>
      </w:r>
      <w:proofErr w:type="gramEnd"/>
      <w:r w:rsidRPr="005269A8">
        <w:rPr>
          <w:sz w:val="24"/>
        </w:rPr>
        <w:t xml:space="preserve"> 55082-2012</w:t>
      </w:r>
    </w:p>
    <w:p w:rsidR="00EC19EA" w:rsidRPr="005269A8" w:rsidRDefault="00EC19EA" w:rsidP="00EC19EA">
      <w:pPr>
        <w:pStyle w:val="af6"/>
        <w:ind w:firstLine="567"/>
        <w:jc w:val="both"/>
        <w:rPr>
          <w:sz w:val="24"/>
        </w:rPr>
      </w:pPr>
      <w:r w:rsidRPr="005269A8">
        <w:rPr>
          <w:sz w:val="24"/>
        </w:rPr>
        <w:t>- штриховой код (при наличии).</w:t>
      </w:r>
    </w:p>
    <w:p w:rsidR="00EC19EA" w:rsidRPr="005269A8" w:rsidRDefault="00EC19EA" w:rsidP="00EC19EA">
      <w:pPr>
        <w:pStyle w:val="af6"/>
        <w:ind w:firstLine="567"/>
        <w:jc w:val="both"/>
        <w:rPr>
          <w:sz w:val="24"/>
        </w:rPr>
      </w:pPr>
      <w:r w:rsidRPr="005269A8">
        <w:rPr>
          <w:sz w:val="24"/>
        </w:rPr>
        <w:t>Маркировка должна быть нанесена на русском языке.</w:t>
      </w:r>
    </w:p>
    <w:p w:rsidR="00EC19EA" w:rsidRPr="005269A8" w:rsidRDefault="00EC19EA" w:rsidP="00EC19EA">
      <w:pPr>
        <w:pStyle w:val="af6"/>
        <w:ind w:firstLine="567"/>
        <w:jc w:val="both"/>
        <w:rPr>
          <w:sz w:val="24"/>
        </w:rPr>
      </w:pPr>
      <w:r w:rsidRPr="005269A8">
        <w:rPr>
          <w:sz w:val="24"/>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EC19EA" w:rsidRPr="005269A8" w:rsidRDefault="00EC19EA" w:rsidP="00EC19EA">
      <w:pPr>
        <w:pStyle w:val="af6"/>
        <w:ind w:firstLine="567"/>
        <w:jc w:val="both"/>
        <w:rPr>
          <w:sz w:val="24"/>
        </w:rPr>
      </w:pPr>
      <w:r w:rsidRPr="005269A8">
        <w:rPr>
          <w:sz w:val="24"/>
        </w:rPr>
        <w:t>Транспортировка изделий должна осуществляться в соответствии с ГОСТ 6658-75 «Изделие из бумаги и картона.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w:t>
      </w:r>
    </w:p>
    <w:p w:rsidR="00EC19EA" w:rsidRPr="005269A8" w:rsidRDefault="00EC19EA" w:rsidP="00EC19EA">
      <w:pPr>
        <w:pStyle w:val="af6"/>
        <w:ind w:firstLine="567"/>
        <w:jc w:val="both"/>
        <w:rPr>
          <w:sz w:val="24"/>
        </w:rPr>
      </w:pPr>
      <w:r w:rsidRPr="005269A8">
        <w:rPr>
          <w:sz w:val="24"/>
        </w:rPr>
        <w:t xml:space="preserve">Сопроводительные документы должны содержать информацию, подтверждающую, что поставляемое абсорбирующее белье (подгузники) соответствуют требованиям нормативных документов (стандартов) серии ГОСТ ISO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5269A8">
        <w:rPr>
          <w:sz w:val="24"/>
        </w:rPr>
        <w:t>пирогенность</w:t>
      </w:r>
      <w:proofErr w:type="spellEnd"/>
      <w:r w:rsidRPr="005269A8">
        <w:rPr>
          <w:sz w:val="24"/>
        </w:rPr>
        <w:t xml:space="preserve">», ГОСТ </w:t>
      </w:r>
      <w:proofErr w:type="gramStart"/>
      <w:r w:rsidRPr="005269A8">
        <w:rPr>
          <w:sz w:val="24"/>
        </w:rPr>
        <w:t>Р</w:t>
      </w:r>
      <w:proofErr w:type="gramEnd"/>
      <w:r w:rsidRPr="005269A8">
        <w:rPr>
          <w:sz w:val="24"/>
        </w:rPr>
        <w:t xml:space="preserve"> 55082-2012 «Изделия бумажные медицинского назначения. Подгузники для взрослых. Общие технические условия».</w:t>
      </w:r>
    </w:p>
    <w:p w:rsidR="00EC19EA" w:rsidRPr="005269A8" w:rsidRDefault="00EC19EA" w:rsidP="00EC19EA">
      <w:pPr>
        <w:pStyle w:val="af6"/>
        <w:numPr>
          <w:ilvl w:val="0"/>
          <w:numId w:val="16"/>
        </w:numPr>
        <w:rPr>
          <w:b/>
          <w:sz w:val="24"/>
        </w:rPr>
      </w:pPr>
      <w:r w:rsidRPr="005269A8">
        <w:rPr>
          <w:b/>
          <w:sz w:val="24"/>
        </w:rPr>
        <w:t>Требования к приемке товара.</w:t>
      </w:r>
    </w:p>
    <w:p w:rsidR="00EC19EA" w:rsidRPr="005269A8" w:rsidRDefault="00EC19EA" w:rsidP="00EC19EA">
      <w:pPr>
        <w:pStyle w:val="af6"/>
        <w:ind w:firstLine="567"/>
        <w:jc w:val="both"/>
        <w:rPr>
          <w:sz w:val="24"/>
        </w:rPr>
      </w:pPr>
      <w:r w:rsidRPr="005269A8">
        <w:rPr>
          <w:sz w:val="24"/>
        </w:rPr>
        <w:t>Заказчик в целях проверки соответствия качества поставляемой продукции имеет право подвергнуть подгузники приемо-сдаточным испытаниям (верификации) согласно ГОСТ 24297-2013 «Верификация закупленной продукции. Организация проведения и методы контроля» в учреждениях, аттестованных для соответствующих испытаний.</w:t>
      </w:r>
    </w:p>
    <w:p w:rsidR="00EC19EA" w:rsidRPr="005269A8" w:rsidRDefault="00EC19EA" w:rsidP="00EC19EA">
      <w:pPr>
        <w:pStyle w:val="af6"/>
        <w:ind w:firstLine="567"/>
        <w:jc w:val="both"/>
        <w:rPr>
          <w:sz w:val="24"/>
        </w:rPr>
      </w:pPr>
      <w:r w:rsidRPr="005269A8">
        <w:rPr>
          <w:sz w:val="24"/>
        </w:rPr>
        <w:t xml:space="preserve">Для проведения испытаний, случайным образом от партии отбирают не менее 21 единицы изделий, не менее чем из 3х индивидуальных потребительских упаковок. </w:t>
      </w:r>
      <w:proofErr w:type="gramStart"/>
      <w:r w:rsidRPr="005269A8">
        <w:rPr>
          <w:sz w:val="24"/>
        </w:rPr>
        <w:t>За партию Заказчиком и Поставщиком принимается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 поставляемых в рамках заключенного Государственного контракта.</w:t>
      </w:r>
      <w:proofErr w:type="gramEnd"/>
    </w:p>
    <w:p w:rsidR="00EC19EA" w:rsidRPr="005269A8" w:rsidRDefault="00EC19EA" w:rsidP="00EC19EA">
      <w:pPr>
        <w:pStyle w:val="af6"/>
        <w:ind w:firstLine="567"/>
        <w:jc w:val="both"/>
        <w:rPr>
          <w:sz w:val="24"/>
        </w:rPr>
      </w:pPr>
      <w:r w:rsidRPr="005269A8">
        <w:rPr>
          <w:sz w:val="24"/>
        </w:rPr>
        <w:t>По результатам верификации Заказчиком принимается решение о приемке партии либ</w:t>
      </w:r>
      <w:proofErr w:type="gramStart"/>
      <w:r w:rsidRPr="005269A8">
        <w:rPr>
          <w:sz w:val="24"/>
        </w:rPr>
        <w:t>о о ее</w:t>
      </w:r>
      <w:proofErr w:type="gramEnd"/>
      <w:r w:rsidRPr="005269A8">
        <w:rPr>
          <w:sz w:val="24"/>
        </w:rPr>
        <w:t xml:space="preserve"> возврате Поставщику.</w:t>
      </w:r>
    </w:p>
    <w:p w:rsidR="00EC19EA" w:rsidRPr="005269A8" w:rsidRDefault="00EC19EA" w:rsidP="00EC19EA">
      <w:pPr>
        <w:pStyle w:val="af6"/>
        <w:ind w:firstLine="567"/>
        <w:jc w:val="both"/>
        <w:rPr>
          <w:sz w:val="24"/>
        </w:rPr>
      </w:pPr>
      <w:r w:rsidRPr="005269A8">
        <w:rPr>
          <w:sz w:val="24"/>
        </w:rPr>
        <w:t>В случае принятия решения Заказчиком о приемке товара Поставщик обязан возместить Заказчику количество изделий, изъятых для экспертизы в полном объеме.</w:t>
      </w:r>
    </w:p>
    <w:p w:rsidR="00EC19EA" w:rsidRPr="005269A8" w:rsidRDefault="00EC19EA" w:rsidP="00EC19EA">
      <w:pPr>
        <w:pStyle w:val="af6"/>
        <w:ind w:firstLine="567"/>
        <w:jc w:val="both"/>
        <w:rPr>
          <w:sz w:val="24"/>
        </w:rPr>
      </w:pPr>
      <w:r w:rsidRPr="005269A8">
        <w:rPr>
          <w:sz w:val="24"/>
        </w:rPr>
        <w:t>В случае</w:t>
      </w:r>
      <w:proofErr w:type="gramStart"/>
      <w:r w:rsidRPr="005269A8">
        <w:rPr>
          <w:sz w:val="24"/>
        </w:rPr>
        <w:t>,</w:t>
      </w:r>
      <w:proofErr w:type="gramEnd"/>
      <w:r w:rsidRPr="005269A8">
        <w:rPr>
          <w:sz w:val="24"/>
        </w:rPr>
        <w:t xml:space="preserve"> если по результатам верификации качество товара признается не соответствующим требованиям, установленным в техническом задании, и утвержденным национальным стандартам, в уведомлении о результатах проведения верификации Заказчик устанавливает срок, в который Поставщик обязан устранить недостатки и/или заменить всю партию поставленного товара за собственный счет. </w:t>
      </w:r>
    </w:p>
    <w:p w:rsidR="00EC19EA" w:rsidRPr="005269A8" w:rsidRDefault="00EC19EA" w:rsidP="00EC19EA">
      <w:pPr>
        <w:widowControl w:val="0"/>
        <w:jc w:val="both"/>
        <w:rPr>
          <w:bCs/>
        </w:rPr>
      </w:pPr>
      <w:r w:rsidRPr="005269A8">
        <w:lastRenderedPageBreak/>
        <w:t>Если Поставщик в установленный Заказчиком срок не устранит недочеты и/или не заменит всю партию поставленного товара, Заказчик имеет право на расторжение контракта в одностороннем порядке, о чем письменно уведомляет Поставщика.</w:t>
      </w:r>
    </w:p>
    <w:p w:rsidR="00EC19EA" w:rsidRPr="00FD46D0" w:rsidRDefault="00EC19EA" w:rsidP="00EC19EA">
      <w:pPr>
        <w:pStyle w:val="af6"/>
        <w:numPr>
          <w:ilvl w:val="0"/>
          <w:numId w:val="16"/>
        </w:numPr>
        <w:rPr>
          <w:sz w:val="24"/>
          <w:lang w:eastAsia="ar-SA"/>
        </w:rPr>
      </w:pPr>
      <w:r w:rsidRPr="00FD46D0">
        <w:rPr>
          <w:b/>
          <w:sz w:val="24"/>
        </w:rPr>
        <w:t>Документы, подтверждающие качество (соответствие) товара.</w:t>
      </w:r>
    </w:p>
    <w:p w:rsidR="00EC19EA" w:rsidRPr="001103E5" w:rsidRDefault="00EC19EA" w:rsidP="00EC19EA">
      <w:pPr>
        <w:pStyle w:val="af6"/>
        <w:ind w:firstLine="567"/>
        <w:jc w:val="both"/>
        <w:rPr>
          <w:sz w:val="24"/>
        </w:rPr>
      </w:pPr>
      <w:r w:rsidRPr="001103E5">
        <w:rPr>
          <w:sz w:val="24"/>
        </w:rPr>
        <w:t xml:space="preserve">Поставить подгузники (далее - Изделия) для детей-инвалидов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EC19EA" w:rsidRPr="001103E5" w:rsidRDefault="00EC19EA" w:rsidP="00EC19EA">
      <w:pPr>
        <w:pStyle w:val="af6"/>
        <w:ind w:firstLine="567"/>
        <w:jc w:val="both"/>
        <w:rPr>
          <w:sz w:val="24"/>
        </w:rPr>
      </w:pPr>
      <w:r w:rsidRPr="001103E5">
        <w:rPr>
          <w:sz w:val="24"/>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960F83" w:rsidRDefault="00960F83" w:rsidP="00960F83">
      <w:pPr>
        <w:widowControl w:val="0"/>
        <w:shd w:val="clear" w:color="auto" w:fill="FFFFFF"/>
        <w:ind w:right="23" w:hanging="2080"/>
        <w:jc w:val="right"/>
        <w:rPr>
          <w:sz w:val="22"/>
          <w:szCs w:val="22"/>
          <w:lang w:bidi="ru-RU"/>
        </w:rPr>
      </w:pPr>
    </w:p>
    <w:p w:rsidR="00960F83" w:rsidRDefault="00960F83" w:rsidP="00960F83">
      <w:pPr>
        <w:widowControl w:val="0"/>
        <w:shd w:val="clear" w:color="auto" w:fill="FFFFFF"/>
        <w:tabs>
          <w:tab w:val="left" w:pos="5730"/>
        </w:tabs>
        <w:ind w:right="23" w:hanging="2080"/>
        <w:rPr>
          <w:sz w:val="22"/>
          <w:szCs w:val="22"/>
          <w:lang w:bidi="ru-RU"/>
        </w:rPr>
      </w:pPr>
      <w:r>
        <w:rPr>
          <w:sz w:val="22"/>
          <w:szCs w:val="22"/>
          <w:lang w:bidi="ru-RU"/>
        </w:rPr>
        <w:tab/>
      </w:r>
    </w:p>
    <w:p w:rsidR="00960F83" w:rsidRDefault="00960F83"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EC19EA" w:rsidRDefault="00EC19EA" w:rsidP="00960F83">
      <w:pPr>
        <w:widowControl w:val="0"/>
        <w:shd w:val="clear" w:color="auto" w:fill="FFFFFF"/>
        <w:ind w:right="23"/>
        <w:rPr>
          <w:sz w:val="22"/>
          <w:szCs w:val="22"/>
          <w:lang w:bidi="ru-RU"/>
        </w:rPr>
      </w:pPr>
    </w:p>
    <w:p w:rsidR="00960F83" w:rsidRDefault="00960F83" w:rsidP="00960F83">
      <w:pPr>
        <w:widowControl w:val="0"/>
        <w:shd w:val="clear" w:color="auto" w:fill="FFFFFF"/>
        <w:ind w:right="23"/>
        <w:rPr>
          <w:sz w:val="22"/>
          <w:szCs w:val="22"/>
          <w:lang w:bidi="ru-RU"/>
        </w:rPr>
      </w:pPr>
    </w:p>
    <w:p w:rsidR="00960F83" w:rsidRPr="002B4CA2" w:rsidRDefault="00960F83" w:rsidP="00960F83">
      <w:pPr>
        <w:keepNext/>
        <w:keepLines/>
        <w:jc w:val="center"/>
        <w:rPr>
          <w:b/>
          <w:bCs/>
        </w:rPr>
      </w:pPr>
    </w:p>
    <w:p w:rsidR="00960F83" w:rsidRPr="002B4CA2" w:rsidRDefault="00960F83" w:rsidP="002961A7">
      <w:pPr>
        <w:keepNext/>
        <w:keepLines/>
        <w:jc w:val="both"/>
        <w:rPr>
          <w:kern w:val="16"/>
          <w:sz w:val="28"/>
        </w:rPr>
      </w:pPr>
      <w:r w:rsidRPr="002B4CA2">
        <w:rPr>
          <w:kern w:val="16"/>
        </w:rPr>
        <w:t xml:space="preserve"> </w:t>
      </w:r>
    </w:p>
    <w:p w:rsidR="00811ADF" w:rsidRDefault="00811ADF"/>
    <w:sectPr w:rsidR="00811ADF" w:rsidSect="006D7327">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80" w:rsidRDefault="00A00680" w:rsidP="00960F83">
      <w:r>
        <w:separator/>
      </w:r>
    </w:p>
  </w:endnote>
  <w:endnote w:type="continuationSeparator" w:id="0">
    <w:p w:rsidR="00A00680" w:rsidRDefault="00A00680" w:rsidP="009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80" w:rsidRDefault="00A00680" w:rsidP="00960F83">
      <w:r>
        <w:separator/>
      </w:r>
    </w:p>
  </w:footnote>
  <w:footnote w:type="continuationSeparator" w:id="0">
    <w:p w:rsidR="00A00680" w:rsidRDefault="00A00680" w:rsidP="00960F83">
      <w:r>
        <w:continuationSeparator/>
      </w:r>
    </w:p>
  </w:footnote>
  <w:footnote w:id="1">
    <w:p w:rsidR="00EC19EA" w:rsidRPr="004D2FEC" w:rsidRDefault="00EC19EA" w:rsidP="00EC19EA">
      <w:pPr>
        <w:autoSpaceDE w:val="0"/>
        <w:autoSpaceDN w:val="0"/>
        <w:adjustRightInd w:val="0"/>
        <w:ind w:firstLine="539"/>
        <w:jc w:val="both"/>
        <w:rPr>
          <w:sz w:val="20"/>
          <w:szCs w:val="20"/>
        </w:rPr>
      </w:pPr>
      <w:r>
        <w:rPr>
          <w:rStyle w:val="ac"/>
          <w:rFonts w:eastAsia="Calibri"/>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EC19EA" w:rsidRDefault="00EC19EA" w:rsidP="00EC19EA">
      <w:pPr>
        <w:autoSpaceDE w:val="0"/>
        <w:autoSpaceDN w:val="0"/>
        <w:adjustRightInd w:val="0"/>
        <w:ind w:firstLine="53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6D7327" w:rsidRDefault="00441506">
        <w:pPr>
          <w:pStyle w:val="ad"/>
          <w:jc w:val="center"/>
        </w:pPr>
        <w:r>
          <w:fldChar w:fldCharType="begin"/>
        </w:r>
        <w:r w:rsidR="006D7327">
          <w:instrText>PAGE   \* MERGEFORMAT</w:instrText>
        </w:r>
        <w:r>
          <w:fldChar w:fldCharType="separate"/>
        </w:r>
        <w:r w:rsidR="00B04119">
          <w:rPr>
            <w:noProof/>
          </w:rPr>
          <w:t>2</w:t>
        </w:r>
        <w:r>
          <w:rPr>
            <w:noProof/>
          </w:rPr>
          <w:fldChar w:fldCharType="end"/>
        </w:r>
      </w:p>
    </w:sdtContent>
  </w:sdt>
  <w:p w:rsidR="006D7327" w:rsidRDefault="006D732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6"/>
  </w:num>
  <w:num w:numId="3">
    <w:abstractNumId w:val="1"/>
  </w:num>
  <w:num w:numId="4">
    <w:abstractNumId w:val="5"/>
  </w:num>
  <w:num w:numId="5">
    <w:abstractNumId w:val="13"/>
  </w:num>
  <w:num w:numId="6">
    <w:abstractNumId w:val="11"/>
  </w:num>
  <w:num w:numId="7">
    <w:abstractNumId w:val="9"/>
  </w:num>
  <w:num w:numId="8">
    <w:abstractNumId w:val="14"/>
  </w:num>
  <w:num w:numId="9">
    <w:abstractNumId w:val="8"/>
  </w:num>
  <w:num w:numId="10">
    <w:abstractNumId w:val="3"/>
  </w:num>
  <w:num w:numId="11">
    <w:abstractNumId w:val="7"/>
  </w:num>
  <w:num w:numId="12">
    <w:abstractNumId w:val="12"/>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960F83"/>
    <w:rsid w:val="000205C7"/>
    <w:rsid w:val="00091DD9"/>
    <w:rsid w:val="0012239A"/>
    <w:rsid w:val="00161641"/>
    <w:rsid w:val="00170431"/>
    <w:rsid w:val="00177A80"/>
    <w:rsid w:val="00192676"/>
    <w:rsid w:val="001C5D75"/>
    <w:rsid w:val="001D317E"/>
    <w:rsid w:val="001F1C44"/>
    <w:rsid w:val="001F4E63"/>
    <w:rsid w:val="0024328A"/>
    <w:rsid w:val="002961A7"/>
    <w:rsid w:val="002A12C4"/>
    <w:rsid w:val="002A3B5A"/>
    <w:rsid w:val="00305908"/>
    <w:rsid w:val="003171AC"/>
    <w:rsid w:val="0034676E"/>
    <w:rsid w:val="003B5E2F"/>
    <w:rsid w:val="0040542E"/>
    <w:rsid w:val="00441506"/>
    <w:rsid w:val="0046344B"/>
    <w:rsid w:val="004D4A44"/>
    <w:rsid w:val="0058423C"/>
    <w:rsid w:val="005E6B7B"/>
    <w:rsid w:val="005E6F5C"/>
    <w:rsid w:val="006822FF"/>
    <w:rsid w:val="006A1501"/>
    <w:rsid w:val="006D7327"/>
    <w:rsid w:val="006D7C9E"/>
    <w:rsid w:val="007A21B3"/>
    <w:rsid w:val="007A68CE"/>
    <w:rsid w:val="00811ADF"/>
    <w:rsid w:val="0085599E"/>
    <w:rsid w:val="008D70CC"/>
    <w:rsid w:val="00936C8E"/>
    <w:rsid w:val="00960F83"/>
    <w:rsid w:val="009828CB"/>
    <w:rsid w:val="009F2772"/>
    <w:rsid w:val="00A00680"/>
    <w:rsid w:val="00A54181"/>
    <w:rsid w:val="00A92B57"/>
    <w:rsid w:val="00AC4BBB"/>
    <w:rsid w:val="00AF0412"/>
    <w:rsid w:val="00B04119"/>
    <w:rsid w:val="00BE3063"/>
    <w:rsid w:val="00CF5C60"/>
    <w:rsid w:val="00D106F9"/>
    <w:rsid w:val="00D66E01"/>
    <w:rsid w:val="00DA4B30"/>
    <w:rsid w:val="00DB714C"/>
    <w:rsid w:val="00DD165F"/>
    <w:rsid w:val="00E1037F"/>
    <w:rsid w:val="00E10CFF"/>
    <w:rsid w:val="00E40364"/>
    <w:rsid w:val="00E5291B"/>
    <w:rsid w:val="00E66DB7"/>
    <w:rsid w:val="00E67109"/>
    <w:rsid w:val="00EB13CC"/>
    <w:rsid w:val="00EC19EA"/>
    <w:rsid w:val="00ED759E"/>
    <w:rsid w:val="00F2433F"/>
    <w:rsid w:val="00F54A2A"/>
    <w:rsid w:val="00F6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3"/>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Название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styleId="af6">
    <w:name w:val="No Spacing"/>
    <w:uiPriority w:val="1"/>
    <w:qFormat/>
    <w:rsid w:val="00EC19EA"/>
    <w:pPr>
      <w:spacing w:after="0" w:line="240" w:lineRule="auto"/>
    </w:pPr>
    <w:rPr>
      <w:rFonts w:ascii="Times New Roman" w:eastAsia="Times New Roman" w:hAnsi="Times New Roman" w:cs="Times New Roman"/>
      <w:kern w:val="16"/>
      <w:sz w:val="28"/>
      <w:szCs w:val="24"/>
      <w:lang w:eastAsia="ru-RU"/>
    </w:rPr>
  </w:style>
  <w:style w:type="paragraph" w:customStyle="1" w:styleId="af7">
    <w:name w:val="Содержимое таблицы"/>
    <w:basedOn w:val="a"/>
    <w:rsid w:val="00EC19EA"/>
    <w:pPr>
      <w:suppressLineNumbers/>
      <w:suppressAutoHyphens/>
      <w:spacing w:after="0" w:line="240" w:lineRule="auto"/>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306CB-83E2-4BAE-A63C-351C9724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5</cp:revision>
  <dcterms:created xsi:type="dcterms:W3CDTF">2018-08-08T15:18:00Z</dcterms:created>
  <dcterms:modified xsi:type="dcterms:W3CDTF">2018-09-17T11:19:00Z</dcterms:modified>
</cp:coreProperties>
</file>