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E1" w:rsidRDefault="00773FE1" w:rsidP="00773FE1">
      <w:pPr>
        <w:widowControl w:val="0"/>
        <w:jc w:val="both"/>
        <w:rPr>
          <w:b/>
        </w:rPr>
      </w:pPr>
      <w:r w:rsidRPr="00930F0D">
        <w:rPr>
          <w:b/>
          <w:bCs/>
          <w:lang w:val="en-US"/>
        </w:rPr>
        <w:t>V</w:t>
      </w:r>
      <w:r w:rsidRPr="00930F0D">
        <w:rPr>
          <w:b/>
          <w:bCs/>
        </w:rPr>
        <w:t xml:space="preserve">. </w:t>
      </w:r>
      <w:r w:rsidRPr="00930F0D">
        <w:rPr>
          <w:b/>
        </w:rPr>
        <w:t>Описание объекта закупки (техническое задание)</w:t>
      </w:r>
    </w:p>
    <w:p w:rsidR="00773FE1" w:rsidRPr="00930F0D" w:rsidRDefault="00773FE1" w:rsidP="00773FE1">
      <w:pPr>
        <w:widowControl w:val="0"/>
        <w:jc w:val="both"/>
        <w:rPr>
          <w:b/>
        </w:rPr>
      </w:pPr>
    </w:p>
    <w:p w:rsidR="00773FE1" w:rsidRDefault="00773FE1" w:rsidP="00773FE1">
      <w:pPr>
        <w:ind w:right="10"/>
        <w:jc w:val="both"/>
      </w:pPr>
      <w:r>
        <w:t xml:space="preserve">Поставщик должен поставлять </w:t>
      </w:r>
      <w:r w:rsidRPr="005174E3">
        <w:t xml:space="preserve">телевизоры с телетекстом для приема программ со скрытыми субтитрами (далее </w:t>
      </w:r>
      <w:r>
        <w:t xml:space="preserve">- </w:t>
      </w:r>
      <w:r w:rsidRPr="005174E3">
        <w:t>Изделия)</w:t>
      </w:r>
      <w:r>
        <w:t xml:space="preserve"> </w:t>
      </w:r>
      <w:r w:rsidRPr="001B08B9">
        <w:t xml:space="preserve">для </w:t>
      </w:r>
      <w:r>
        <w:t>инвалидов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773FE1" w:rsidRPr="00F4518A" w:rsidRDefault="00773FE1" w:rsidP="00773FE1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11.12.2018</w:t>
      </w:r>
      <w:r w:rsidRPr="0027353B">
        <w:t xml:space="preserve"> </w:t>
      </w:r>
      <w:r w:rsidRPr="00F4518A">
        <w:t>включительно.</w:t>
      </w:r>
    </w:p>
    <w:p w:rsidR="00773FE1" w:rsidRPr="00B92230" w:rsidRDefault="00773FE1" w:rsidP="00773FE1">
      <w:pPr>
        <w:jc w:val="both"/>
      </w:pPr>
    </w:p>
    <w:p w:rsidR="00773FE1" w:rsidRPr="00EC48D5" w:rsidRDefault="00773FE1" w:rsidP="00773FE1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773FE1" w:rsidRDefault="00773FE1" w:rsidP="00773FE1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773FE1" w:rsidRDefault="00773FE1" w:rsidP="00773FE1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773FE1" w:rsidRDefault="00773FE1" w:rsidP="00773FE1">
      <w:pPr>
        <w:jc w:val="both"/>
      </w:pPr>
      <w:r>
        <w:t>1.3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</w:t>
      </w:r>
      <w:proofErr w:type="gramStart"/>
      <w:r>
        <w:t>п</w:t>
      </w:r>
      <w:proofErr w:type="gramEnd"/>
      <w:r>
        <w:t xml:space="preserve"> 4.11.5</w:t>
      </w:r>
      <w:r w:rsidRPr="001E6D40">
        <w:t xml:space="preserve"> ГОСТ Р 51632-2014 «Технические средства реабилитации людей с ограничениями жизнедеятельности. </w:t>
      </w:r>
      <w:proofErr w:type="gramStart"/>
      <w:r w:rsidRPr="001E6D40">
        <w:t>Общие технические требования и методы испытаний»)</w:t>
      </w:r>
      <w:r>
        <w:t>.</w:t>
      </w:r>
      <w:proofErr w:type="gramEnd"/>
    </w:p>
    <w:p w:rsidR="00773FE1" w:rsidRDefault="00773FE1" w:rsidP="00773FE1">
      <w:pPr>
        <w:jc w:val="both"/>
      </w:pPr>
      <w:r>
        <w:t>1.4.</w:t>
      </w:r>
      <w:r w:rsidRPr="002A01A0">
        <w:t xml:space="preserve"> </w:t>
      </w:r>
      <w:r>
        <w:t>Характеристики и количество поставляемого товара</w:t>
      </w:r>
      <w:r>
        <w:rPr>
          <w:rStyle w:val="a3"/>
        </w:rPr>
        <w:t xml:space="preserve"> </w:t>
      </w:r>
      <w:r>
        <w:rPr>
          <w:vertAlign w:val="superscript"/>
        </w:rPr>
        <w:footnoteReference w:id="1"/>
      </w:r>
      <w:r>
        <w:t>:</w:t>
      </w:r>
    </w:p>
    <w:tbl>
      <w:tblPr>
        <w:tblW w:w="10235" w:type="dxa"/>
        <w:tblLayout w:type="fixed"/>
        <w:tblLook w:val="0000" w:firstRow="0" w:lastRow="0" w:firstColumn="0" w:lastColumn="0" w:noHBand="0" w:noVBand="0"/>
      </w:tblPr>
      <w:tblGrid>
        <w:gridCol w:w="490"/>
        <w:gridCol w:w="1807"/>
        <w:gridCol w:w="2127"/>
        <w:gridCol w:w="1559"/>
        <w:gridCol w:w="2977"/>
        <w:gridCol w:w="1275"/>
      </w:tblGrid>
      <w:tr w:rsidR="00773FE1" w:rsidRPr="00975D71" w:rsidTr="005C6FFE">
        <w:trPr>
          <w:trHeight w:val="72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  <w:rPr>
                <w:b/>
                <w:bCs/>
              </w:rPr>
            </w:pPr>
            <w:r w:rsidRPr="00975D71">
              <w:rPr>
                <w:b/>
                <w:bCs/>
              </w:rPr>
              <w:t xml:space="preserve">№ </w:t>
            </w:r>
            <w:proofErr w:type="gramStart"/>
            <w:r w:rsidRPr="00975D71">
              <w:rPr>
                <w:b/>
                <w:bCs/>
              </w:rPr>
              <w:t>п</w:t>
            </w:r>
            <w:proofErr w:type="gramEnd"/>
            <w:r w:rsidRPr="00975D71">
              <w:rPr>
                <w:b/>
                <w:bCs/>
              </w:rPr>
              <w:t>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  <w:rPr>
                <w:b/>
                <w:bCs/>
              </w:rPr>
            </w:pPr>
            <w:r w:rsidRPr="00975D71">
              <w:rPr>
                <w:b/>
                <w:bCs/>
              </w:rPr>
              <w:t>Наименование Изделия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  <w:rPr>
                <w:b/>
                <w:bCs/>
              </w:rPr>
            </w:pPr>
            <w:r w:rsidRPr="00975D71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  <w:rPr>
                <w:b/>
                <w:bCs/>
              </w:rPr>
            </w:pPr>
            <w:r w:rsidRPr="00975D71">
              <w:rPr>
                <w:b/>
                <w:bCs/>
              </w:rPr>
              <w:t>Показатель характеристики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  <w:rPr>
                <w:b/>
                <w:bCs/>
              </w:rPr>
            </w:pPr>
            <w:r w:rsidRPr="00975D71">
              <w:rPr>
                <w:b/>
                <w:bCs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>
            <w:pPr>
              <w:jc w:val="center"/>
              <w:rPr>
                <w:b/>
                <w:bCs/>
              </w:rPr>
            </w:pPr>
            <w:r w:rsidRPr="00975D71">
              <w:rPr>
                <w:b/>
                <w:bCs/>
              </w:rPr>
              <w:t>Количество</w:t>
            </w:r>
          </w:p>
        </w:tc>
      </w:tr>
      <w:tr w:rsidR="00773FE1" w:rsidRPr="00975D71" w:rsidTr="005C6FFE">
        <w:trPr>
          <w:trHeight w:val="29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>
            <w:pPr>
              <w:rPr>
                <w:b/>
                <w:bCs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>
            <w:pPr>
              <w:rPr>
                <w:b/>
                <w:bCs/>
              </w:rPr>
            </w:pPr>
          </w:p>
        </w:tc>
      </w:tr>
      <w:tr w:rsidR="00773FE1" w:rsidRPr="00975D71" w:rsidTr="005C6FFE">
        <w:trPr>
          <w:trHeight w:val="677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both"/>
            </w:pPr>
            <w:r w:rsidRPr="00975D71">
              <w:t>1.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r w:rsidRPr="00975D71">
              <w:t>Телевизор с телетекстом для приема программ со скрытыми субтитрами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</w:pPr>
            <w:r w:rsidRPr="00975D71">
              <w:rPr>
                <w:lang w:eastAsia="en-US"/>
              </w:rPr>
              <w:t xml:space="preserve">Диагональ экрана в </w:t>
            </w:r>
            <w:proofErr w:type="gramStart"/>
            <w:r w:rsidRPr="00975D71">
              <w:rPr>
                <w:lang w:eastAsia="en-US"/>
              </w:rPr>
              <w:t>см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</w:pPr>
            <w:r w:rsidRPr="00975D71">
              <w:rPr>
                <w:lang w:eastAsia="en-US"/>
              </w:rPr>
              <w:t>не менее 54 см не более 66 см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</w:pPr>
            <w:r w:rsidRPr="00975D71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 № 86</w:t>
            </w:r>
            <w:r w:rsidRPr="00975D71">
              <w:rPr>
                <w:lang w:eastAsia="ar-SA"/>
              </w:rPr>
              <w:t>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FE1" w:rsidRPr="00975D71" w:rsidRDefault="00773FE1" w:rsidP="005C6FFE">
            <w:pPr>
              <w:jc w:val="center"/>
            </w:pPr>
            <w:r>
              <w:t>1000</w:t>
            </w:r>
          </w:p>
        </w:tc>
      </w:tr>
      <w:tr w:rsidR="00773FE1" w:rsidRPr="00975D71" w:rsidTr="005C6FFE">
        <w:trPr>
          <w:trHeight w:val="16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r w:rsidRPr="00975D71">
              <w:rPr>
                <w:lang w:eastAsia="en-US"/>
              </w:rPr>
              <w:t>Возможность приема сигналов общероссийских общедоступных телеканалов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</w:pPr>
            <w:r w:rsidRPr="00975D71">
              <w:rPr>
                <w:lang w:eastAsia="en-US"/>
              </w:rPr>
              <w:t>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</w:pPr>
            <w:r w:rsidRPr="00975D71"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</w:tr>
      <w:tr w:rsidR="00773FE1" w:rsidRPr="00975D71" w:rsidTr="005C6FFE">
        <w:trPr>
          <w:trHeight w:val="10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r w:rsidRPr="00975D71">
              <w:rPr>
                <w:lang w:eastAsia="en-US"/>
              </w:rPr>
              <w:t>Разъемы для наушников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</w:pPr>
            <w:r w:rsidRPr="00975D71">
              <w:rPr>
                <w:lang w:eastAsia="en-US"/>
              </w:rPr>
              <w:t>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</w:pPr>
            <w:r w:rsidRPr="00975D71">
              <w:rPr>
                <w:lang w:eastAsia="en-US"/>
              </w:rPr>
              <w:t>Возможность значительного увеличения уровня звука без оказания влияния на окружающих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</w:tr>
      <w:tr w:rsidR="00773FE1" w:rsidRPr="00975D71" w:rsidTr="005C6FFE">
        <w:trPr>
          <w:trHeight w:val="967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r w:rsidRPr="00975D71">
              <w:rPr>
                <w:lang w:eastAsia="en-US"/>
              </w:rPr>
              <w:t xml:space="preserve">Телетекст на русском языке с возможностью приема сигналов </w:t>
            </w:r>
            <w:r w:rsidRPr="00975D71">
              <w:rPr>
                <w:lang w:eastAsia="en-US"/>
              </w:rPr>
              <w:lastRenderedPageBreak/>
              <w:t>со скрытыми субтитрами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FE1" w:rsidRPr="00975D71" w:rsidRDefault="00773FE1" w:rsidP="005C6FFE">
            <w:pPr>
              <w:jc w:val="center"/>
            </w:pPr>
            <w:r w:rsidRPr="00975D71">
              <w:rPr>
                <w:lang w:eastAsia="en-US"/>
              </w:rPr>
              <w:lastRenderedPageBreak/>
              <w:t>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</w:pPr>
            <w:r w:rsidRPr="00975D71">
              <w:rPr>
                <w:lang w:eastAsia="en-US"/>
              </w:rPr>
              <w:t xml:space="preserve">ГОСТ </w:t>
            </w:r>
            <w:proofErr w:type="gramStart"/>
            <w:r w:rsidRPr="00975D71">
              <w:rPr>
                <w:lang w:eastAsia="en-US"/>
              </w:rPr>
              <w:t>Р</w:t>
            </w:r>
            <w:proofErr w:type="gramEnd"/>
            <w:r w:rsidRPr="00975D71">
              <w:rPr>
                <w:lang w:eastAsia="en-US"/>
              </w:rPr>
              <w:t xml:space="preserve"> 50861-96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</w:tr>
      <w:tr w:rsidR="00773FE1" w:rsidRPr="00975D71" w:rsidTr="005C6FFE">
        <w:trPr>
          <w:trHeight w:val="33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r w:rsidRPr="00975D71">
              <w:rPr>
                <w:lang w:eastAsia="en-US"/>
              </w:rPr>
              <w:t>Пульт 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FE1" w:rsidRPr="00975D71" w:rsidRDefault="00773FE1" w:rsidP="005C6FFE">
            <w:pPr>
              <w:jc w:val="center"/>
            </w:pPr>
            <w:r w:rsidRPr="00975D71">
              <w:rPr>
                <w:lang w:eastAsia="en-US"/>
              </w:rPr>
              <w:t>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</w:pPr>
            <w:r w:rsidRPr="00975D71">
              <w:t>Для настройки параметров субтитров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</w:tr>
      <w:tr w:rsidR="00773FE1" w:rsidRPr="00975D71" w:rsidTr="005C6FFE">
        <w:trPr>
          <w:trHeight w:val="64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r w:rsidRPr="00975D71">
              <w:rPr>
                <w:lang w:eastAsia="en-US"/>
              </w:rPr>
              <w:t>Руководство пользователя на русском языке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FE1" w:rsidRPr="00975D71" w:rsidRDefault="00773FE1" w:rsidP="005C6FFE">
            <w:pPr>
              <w:jc w:val="center"/>
            </w:pPr>
            <w:r w:rsidRPr="00975D71">
              <w:rPr>
                <w:lang w:eastAsia="en-US"/>
              </w:rPr>
              <w:t>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</w:pPr>
            <w:r w:rsidRPr="00975D71">
              <w:t>ГОСТ 51632-2014, п.4.9.6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FE1" w:rsidRPr="00975D71" w:rsidRDefault="00773FE1" w:rsidP="005C6FFE"/>
        </w:tc>
      </w:tr>
      <w:tr w:rsidR="00773FE1" w:rsidRPr="00975D71" w:rsidTr="005C6FFE">
        <w:trPr>
          <w:trHeight w:val="355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FE1" w:rsidRPr="00975D71" w:rsidRDefault="00773FE1" w:rsidP="005C6FFE">
            <w:r w:rsidRPr="00975D71">
              <w:rPr>
                <w:lang w:eastAsia="ar-SA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FE1" w:rsidRPr="00975D71" w:rsidRDefault="00773FE1" w:rsidP="005C6FFE">
            <w:pPr>
              <w:jc w:val="center"/>
            </w:pPr>
            <w:r>
              <w:t>10</w:t>
            </w:r>
            <w:r w:rsidRPr="00975D71">
              <w:t>00</w:t>
            </w:r>
          </w:p>
        </w:tc>
      </w:tr>
    </w:tbl>
    <w:p w:rsidR="00773FE1" w:rsidRDefault="00773FE1" w:rsidP="00773FE1">
      <w:pPr>
        <w:jc w:val="both"/>
      </w:pPr>
    </w:p>
    <w:p w:rsidR="00773FE1" w:rsidRDefault="00773FE1" w:rsidP="00773FE1">
      <w:pPr>
        <w:jc w:val="both"/>
      </w:pPr>
      <w:r>
        <w:t xml:space="preserve">1.5. Гарантийный ремонт </w:t>
      </w:r>
      <w:r w:rsidRPr="00136917">
        <w:t>Изделия осуществляется Поставщиком</w:t>
      </w:r>
      <w:r>
        <w:t xml:space="preserve"> в период гарантийного срока.</w:t>
      </w:r>
    </w:p>
    <w:p w:rsidR="00773FE1" w:rsidRDefault="00773FE1" w:rsidP="00773FE1">
      <w:pPr>
        <w:suppressAutoHyphens/>
        <w:spacing w:line="240" w:lineRule="atLeast"/>
        <w:jc w:val="both"/>
      </w:pPr>
      <w:r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773FE1" w:rsidRDefault="00773FE1" w:rsidP="00773FE1">
      <w:pPr>
        <w:suppressAutoHyphens/>
        <w:spacing w:line="240" w:lineRule="atLeast"/>
        <w:jc w:val="both"/>
      </w:pPr>
      <w:r>
        <w:t>П</w:t>
      </w:r>
      <w:r w:rsidRPr="0014478F">
        <w:t>рием Получателей по вопросам, касающимся выдачи и гарантийного ремонта Изделий,</w:t>
      </w:r>
      <w:r>
        <w:t xml:space="preserve"> </w:t>
      </w:r>
      <w:r w:rsidRPr="00136917">
        <w:t>осуществляется Поставщиком</w:t>
      </w:r>
      <w:r w:rsidRPr="0014478F">
        <w:t xml:space="preserve"> по месту нахождения организованных </w:t>
      </w:r>
      <w:r>
        <w:t>Поставщиком</w:t>
      </w:r>
      <w:r w:rsidRPr="0014478F">
        <w:t xml:space="preserve"> пунктов приема (не менее </w:t>
      </w:r>
      <w:r>
        <w:t>1 (одного)</w:t>
      </w:r>
      <w:r w:rsidRPr="0014478F">
        <w:t>) на территории Санкт-Петербурга.</w:t>
      </w:r>
    </w:p>
    <w:p w:rsidR="00773FE1" w:rsidRDefault="00773FE1" w:rsidP="00773FE1">
      <w:pPr>
        <w:jc w:val="both"/>
      </w:pPr>
    </w:p>
    <w:p w:rsidR="00773FE1" w:rsidRPr="00612097" w:rsidRDefault="00773FE1" w:rsidP="00773FE1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773FE1" w:rsidRPr="00652ECD" w:rsidRDefault="00773FE1" w:rsidP="00773FE1">
      <w:pPr>
        <w:jc w:val="both"/>
      </w:pPr>
      <w:r>
        <w:rPr>
          <w:lang w:eastAsia="ar-SA"/>
        </w:rPr>
        <w:t>2</w:t>
      </w:r>
      <w:r w:rsidRPr="001B08B9">
        <w:rPr>
          <w:lang w:eastAsia="ar-SA"/>
        </w:rPr>
        <w:t xml:space="preserve">.1. </w:t>
      </w:r>
      <w:r w:rsidRPr="001B08B9">
        <w:t>Поставлять Изделия</w:t>
      </w:r>
      <w:r>
        <w:t xml:space="preserve"> </w:t>
      </w:r>
      <w:r w:rsidRPr="001B08B9">
        <w:t xml:space="preserve">для </w:t>
      </w:r>
      <w:r>
        <w:t xml:space="preserve">Получателей, </w:t>
      </w:r>
      <w:r w:rsidRPr="005174E3">
        <w:rPr>
          <w:spacing w:val="-4"/>
        </w:rPr>
        <w:t xml:space="preserve">имеющие </w:t>
      </w:r>
      <w:r>
        <w:t>действующую</w:t>
      </w:r>
      <w:r w:rsidRPr="00D65E90">
        <w:t xml:space="preserve"> </w:t>
      </w:r>
      <w:r>
        <w:t>декларацию</w:t>
      </w:r>
      <w:r w:rsidRPr="00D65E90">
        <w:t xml:space="preserve"> соответствия, в соответствии с </w:t>
      </w:r>
      <w:r>
        <w:t xml:space="preserve">Решением Комиссии Таможенного союза от 16.08.2011 № 768. </w:t>
      </w:r>
      <w:r w:rsidRPr="00F576AE">
        <w:rPr>
          <w:lang w:eastAsia="ar-SA"/>
        </w:rPr>
        <w:t xml:space="preserve">В случае если ранее (в соответствии с нормативно-правовыми актами Российской Федерации) </w:t>
      </w:r>
      <w:r>
        <w:rPr>
          <w:lang w:eastAsia="ar-SA"/>
        </w:rPr>
        <w:t>И</w:t>
      </w:r>
      <w:r w:rsidRPr="00F576AE">
        <w:rPr>
          <w:lang w:eastAsia="ar-SA"/>
        </w:rPr>
        <w:t>зделия подлежали обязательной сертификации, допускается поставка Изделий, имеющих действующий сертификат соответствия.</w:t>
      </w:r>
      <w:r w:rsidRPr="00421222">
        <w:t xml:space="preserve"> </w:t>
      </w:r>
      <w: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773FE1" w:rsidRDefault="00773FE1" w:rsidP="00773FE1">
      <w:pPr>
        <w:jc w:val="both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773FE1" w:rsidRDefault="00773FE1" w:rsidP="00773FE1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773FE1" w:rsidRDefault="00773FE1" w:rsidP="00773FE1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773FE1" w:rsidRDefault="00773FE1" w:rsidP="00773FE1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773FE1" w:rsidRDefault="00773FE1" w:rsidP="00773FE1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773FE1" w:rsidRDefault="00773FE1" w:rsidP="00773FE1">
      <w:pPr>
        <w:widowControl w:val="0"/>
        <w:jc w:val="both"/>
        <w:rPr>
          <w:bCs/>
        </w:rPr>
      </w:pPr>
      <w:r>
        <w:rPr>
          <w:sz w:val="22"/>
          <w:szCs w:val="22"/>
        </w:rPr>
        <w:t xml:space="preserve">2.3. </w:t>
      </w:r>
      <w:r>
        <w:t xml:space="preserve">Обеспечить возможность выдачи Изделий со дня, следующего за днем заключения государственного контракта. </w:t>
      </w:r>
    </w:p>
    <w:p w:rsidR="00773FE1" w:rsidRDefault="00773FE1" w:rsidP="00773FE1">
      <w:pPr>
        <w:jc w:val="both"/>
        <w:rPr>
          <w:sz w:val="22"/>
          <w:szCs w:val="22"/>
        </w:rPr>
      </w:pPr>
      <w:r>
        <w:t xml:space="preserve">2.4. Давать справки Получателям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773FE1" w:rsidRDefault="00773FE1" w:rsidP="00773FE1">
      <w:pPr>
        <w:jc w:val="both"/>
      </w:pPr>
      <w:proofErr w:type="gramStart"/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  <w:proofErr w:type="gramEnd"/>
    </w:p>
    <w:p w:rsidR="00773FE1" w:rsidRDefault="00773FE1" w:rsidP="00773FE1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773FE1" w:rsidRPr="0014478F" w:rsidRDefault="00773FE1" w:rsidP="00773FE1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773FE1" w:rsidRDefault="00773FE1" w:rsidP="00773FE1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773FE1" w:rsidRDefault="00773FE1" w:rsidP="00773FE1">
      <w:pPr>
        <w:jc w:val="both"/>
      </w:pPr>
      <w:r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773FE1" w:rsidRDefault="00773FE1" w:rsidP="00773FE1">
      <w:pPr>
        <w:jc w:val="both"/>
      </w:pPr>
      <w:r>
        <w:t xml:space="preserve">2.7. </w:t>
      </w:r>
      <w:r w:rsidRPr="0014478F">
        <w:t>Давать справки Получателям по вопросам, связанным с поставкой Изделий, в часы работы пунктов</w:t>
      </w:r>
      <w:r>
        <w:t xml:space="preserve"> приема</w:t>
      </w:r>
      <w:r w:rsidRPr="0014478F">
        <w:t xml:space="preserve">. </w:t>
      </w:r>
    </w:p>
    <w:p w:rsidR="00773FE1" w:rsidRDefault="00773FE1" w:rsidP="00773FE1"/>
    <w:p w:rsidR="00773FE1" w:rsidRPr="00612097" w:rsidRDefault="00773FE1" w:rsidP="00773FE1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773FE1" w:rsidRDefault="00773FE1" w:rsidP="00773FE1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773FE1" w:rsidRDefault="00773FE1" w:rsidP="00773FE1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773FE1" w:rsidRDefault="00773FE1" w:rsidP="00773FE1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773FE1" w:rsidRPr="0014478F" w:rsidRDefault="00773FE1" w:rsidP="00773FE1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773FE1" w:rsidRDefault="00773FE1" w:rsidP="00773FE1">
      <w:pPr>
        <w:suppressAutoHyphens/>
        <w:spacing w:line="240" w:lineRule="atLeast"/>
        <w:jc w:val="both"/>
      </w:pPr>
      <w:r>
        <w:t>3.2.1</w:t>
      </w:r>
      <w:r w:rsidRPr="0014478F">
        <w:t xml:space="preserve">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773FE1" w:rsidRPr="0014478F" w:rsidRDefault="00773FE1" w:rsidP="00773FE1">
      <w:pPr>
        <w:suppressAutoHyphens/>
        <w:spacing w:line="240" w:lineRule="atLeast"/>
        <w:jc w:val="both"/>
      </w:pPr>
      <w:r w:rsidRPr="0014478F">
        <w:t xml:space="preserve">Количество пунктов приема – не менее </w:t>
      </w:r>
      <w:r>
        <w:t>1 (одного)</w:t>
      </w:r>
      <w:r w:rsidRPr="0014478F">
        <w:t>. Максимальное время ожидания Получателей в очереди не должно превышать 30 минут.</w:t>
      </w:r>
    </w:p>
    <w:p w:rsidR="00773FE1" w:rsidRPr="0014478F" w:rsidRDefault="00773FE1" w:rsidP="00773FE1">
      <w:pPr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773FE1" w:rsidRPr="0014478F" w:rsidRDefault="00773FE1" w:rsidP="00773FE1">
      <w:pPr>
        <w:jc w:val="both"/>
      </w:pPr>
      <w:r w:rsidRPr="0014478F">
        <w:lastRenderedPageBreak/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773FE1" w:rsidRPr="0014478F" w:rsidRDefault="00773FE1" w:rsidP="00773FE1">
      <w:pPr>
        <w:jc w:val="both"/>
      </w:pPr>
      <w:r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773FE1" w:rsidRDefault="00773FE1" w:rsidP="00773FE1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773FE1" w:rsidRPr="0014478F" w:rsidRDefault="00773FE1" w:rsidP="00773FE1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не более 7 дней </w:t>
      </w:r>
      <w:proofErr w:type="gramStart"/>
      <w:r w:rsidRPr="00136917">
        <w:t>с даты обращения</w:t>
      </w:r>
      <w:proofErr w:type="gramEnd"/>
      <w:r w:rsidRPr="00136917">
        <w:t xml:space="preserve"> Получателя</w:t>
      </w:r>
      <w:r>
        <w:t>.</w:t>
      </w:r>
    </w:p>
    <w:p w:rsidR="00773FE1" w:rsidRDefault="00773FE1" w:rsidP="00773FE1">
      <w:pPr>
        <w:jc w:val="both"/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 w:rsidRPr="00475C8C">
        <w:t>.</w:t>
      </w:r>
    </w:p>
    <w:p w:rsidR="00773FE1" w:rsidRDefault="00773FE1" w:rsidP="00773FE1">
      <w:pPr>
        <w:jc w:val="both"/>
      </w:pPr>
    </w:p>
    <w:p w:rsidR="00773FE1" w:rsidRDefault="00773FE1" w:rsidP="00773FE1">
      <w:pPr>
        <w:jc w:val="both"/>
      </w:pPr>
      <w:r>
        <w:t xml:space="preserve">4. Заказчик вправе произвести выборочную проверку Изделий </w:t>
      </w:r>
      <w:r w:rsidRPr="00136917">
        <w:t>и соответствия пунктов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773FE1" w:rsidRDefault="00773FE1" w:rsidP="00773FE1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773FE1" w:rsidRDefault="00773FE1" w:rsidP="00773FE1">
      <w:pPr>
        <w:jc w:val="both"/>
      </w:pPr>
      <w:r>
        <w:t>В день, следующий за днем заключения контракта, на пунктах приема должно находиться не менее 1</w:t>
      </w:r>
      <w:r w:rsidRPr="00E112B4">
        <w:t>0</w:t>
      </w:r>
      <w:r>
        <w:t>% от общего количества товара, предусмотренного контрактом. В дальнейшем на пунктах приема ежедневно должно находиться количество Изделий достаточное для организации их бесперебойной выдачи.</w:t>
      </w:r>
    </w:p>
    <w:p w:rsidR="00773FE1" w:rsidRDefault="00773FE1" w:rsidP="00773FE1">
      <w:pPr>
        <w:jc w:val="both"/>
      </w:pPr>
    </w:p>
    <w:p w:rsidR="00773FE1" w:rsidRDefault="00773FE1" w:rsidP="00773FE1">
      <w:pPr>
        <w:jc w:val="both"/>
      </w:pPr>
    </w:p>
    <w:p w:rsidR="00773FE1" w:rsidRDefault="00773FE1" w:rsidP="00773FE1">
      <w:pPr>
        <w:autoSpaceDE w:val="0"/>
        <w:jc w:val="both"/>
      </w:pPr>
    </w:p>
    <w:p w:rsidR="003836C6" w:rsidRDefault="003836C6">
      <w:bookmarkStart w:id="0" w:name="_GoBack"/>
      <w:bookmarkEnd w:id="0"/>
    </w:p>
    <w:sectPr w:rsidR="0038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E1" w:rsidRDefault="00773FE1" w:rsidP="00773FE1">
      <w:r>
        <w:separator/>
      </w:r>
    </w:p>
  </w:endnote>
  <w:endnote w:type="continuationSeparator" w:id="0">
    <w:p w:rsidR="00773FE1" w:rsidRDefault="00773FE1" w:rsidP="007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E1" w:rsidRDefault="00773FE1" w:rsidP="00773FE1">
      <w:r>
        <w:separator/>
      </w:r>
    </w:p>
  </w:footnote>
  <w:footnote w:type="continuationSeparator" w:id="0">
    <w:p w:rsidR="00773FE1" w:rsidRDefault="00773FE1" w:rsidP="00773FE1">
      <w:r>
        <w:continuationSeparator/>
      </w:r>
    </w:p>
  </w:footnote>
  <w:footnote w:id="1">
    <w:p w:rsidR="00773FE1" w:rsidRDefault="00773FE1" w:rsidP="00773FE1">
      <w:pPr>
        <w:jc w:val="both"/>
      </w:pPr>
      <w:r>
        <w:rPr>
          <w:rStyle w:val="a3"/>
        </w:rPr>
        <w:footnoteRef/>
      </w:r>
      <w:r>
        <w:t xml:space="preserve"> Показатели</w:t>
      </w:r>
      <w:r>
        <w:rPr>
          <w:b/>
        </w:rPr>
        <w:t xml:space="preserve"> </w:t>
      </w:r>
      <w:r>
        <w:t>характеристик товара указаны без учета допустимых отклонений, устанавливаемых производителем.</w:t>
      </w:r>
    </w:p>
    <w:p w:rsidR="00773FE1" w:rsidRDefault="00773FE1" w:rsidP="00773FE1">
      <w:pPr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C4"/>
    <w:rsid w:val="003836C6"/>
    <w:rsid w:val="00773FE1"/>
    <w:rsid w:val="009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73F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73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Мирова</dc:creator>
  <cp:keywords/>
  <dc:description/>
  <cp:lastModifiedBy>Ольга Мирова</cp:lastModifiedBy>
  <cp:revision>2</cp:revision>
  <dcterms:created xsi:type="dcterms:W3CDTF">2018-09-20T09:06:00Z</dcterms:created>
  <dcterms:modified xsi:type="dcterms:W3CDTF">2018-09-20T09:06:00Z</dcterms:modified>
</cp:coreProperties>
</file>