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6F" w:rsidRDefault="00127D6F" w:rsidP="00305A6A">
      <w:pPr>
        <w:spacing w:after="240" w:line="240" w:lineRule="auto"/>
        <w:ind w:left="284" w:right="-45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127D6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ТЕХНИЧЕСКОЕ ЗАДАНИЕ</w:t>
      </w:r>
    </w:p>
    <w:p w:rsidR="00305A6A" w:rsidRDefault="00305A6A" w:rsidP="00305A6A">
      <w:pPr>
        <w:spacing w:after="240" w:line="240" w:lineRule="auto"/>
        <w:ind w:left="284" w:right="-45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05A6A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объекта закупки</w:t>
      </w:r>
    </w:p>
    <w:tbl>
      <w:tblPr>
        <w:tblW w:w="1473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7651"/>
        <w:gridCol w:w="1700"/>
        <w:gridCol w:w="1274"/>
        <w:gridCol w:w="1695"/>
      </w:tblGrid>
      <w:tr w:rsidR="00367DFE" w:rsidRPr="00367DFE" w:rsidTr="00367DFE">
        <w:trPr>
          <w:trHeight w:val="9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DFE" w:rsidRPr="00367DFE" w:rsidRDefault="00367DFE" w:rsidP="00367DFE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367DFE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67DFE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п</w:t>
            </w:r>
            <w:proofErr w:type="gramEnd"/>
            <w:r w:rsidRPr="00367DFE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DFE" w:rsidRPr="00367DFE" w:rsidRDefault="00367DFE" w:rsidP="00367DFE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367DFE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 xml:space="preserve">Наименование </w:t>
            </w:r>
          </w:p>
          <w:p w:rsidR="00367DFE" w:rsidRPr="00367DFE" w:rsidRDefault="00367DFE" w:rsidP="00367DFE">
            <w:pPr>
              <w:keepNext/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367DFE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изделия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DFE" w:rsidRPr="00367DFE" w:rsidRDefault="00367DFE" w:rsidP="00367D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367DFE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Описание изделия*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7DFE" w:rsidRPr="00367DFE" w:rsidRDefault="00367DFE" w:rsidP="00367DFE">
            <w:pPr>
              <w:widowControl w:val="0"/>
              <w:snapToGrid w:val="0"/>
              <w:spacing w:after="0" w:line="240" w:lineRule="auto"/>
              <w:ind w:right="43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</w:pPr>
            <w:r w:rsidRPr="00367DFE"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 xml:space="preserve">Цена </w:t>
            </w:r>
            <w:proofErr w:type="gramStart"/>
            <w:r w:rsidRPr="00367DFE"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за</w:t>
            </w:r>
            <w:proofErr w:type="gramEnd"/>
            <w:r w:rsidRPr="00367DFE"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 xml:space="preserve"> </w:t>
            </w:r>
          </w:p>
          <w:p w:rsidR="00367DFE" w:rsidRPr="00367DFE" w:rsidRDefault="00367DFE" w:rsidP="00367DFE">
            <w:pPr>
              <w:widowControl w:val="0"/>
              <w:snapToGrid w:val="0"/>
              <w:spacing w:after="0" w:line="240" w:lineRule="auto"/>
              <w:ind w:right="43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367DFE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единицу</w:t>
            </w:r>
          </w:p>
          <w:p w:rsidR="00367DFE" w:rsidRPr="00367DFE" w:rsidRDefault="00367DFE" w:rsidP="00367DFE">
            <w:pPr>
              <w:widowControl w:val="0"/>
              <w:snapToGrid w:val="0"/>
              <w:spacing w:after="0" w:line="240" w:lineRule="auto"/>
              <w:ind w:right="43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</w:pPr>
            <w:r w:rsidRPr="00367DFE"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 xml:space="preserve">(руб.)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7DFE" w:rsidRPr="00367DFE" w:rsidRDefault="00367DFE" w:rsidP="00367DFE">
            <w:pPr>
              <w:widowControl w:val="0"/>
              <w:snapToGrid w:val="0"/>
              <w:spacing w:after="0" w:line="240" w:lineRule="auto"/>
              <w:ind w:right="43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</w:pPr>
            <w:r w:rsidRPr="00367DFE"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Кол-во (шт.)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7DFE" w:rsidRPr="00367DFE" w:rsidRDefault="00367DFE" w:rsidP="00367DFE">
            <w:pPr>
              <w:widowControl w:val="0"/>
              <w:snapToGrid w:val="0"/>
              <w:spacing w:after="0" w:line="240" w:lineRule="auto"/>
              <w:ind w:right="43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</w:pPr>
            <w:r w:rsidRPr="00367DFE"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 xml:space="preserve">Сумма </w:t>
            </w:r>
          </w:p>
          <w:p w:rsidR="00367DFE" w:rsidRPr="00367DFE" w:rsidRDefault="00367DFE" w:rsidP="00367DFE">
            <w:pPr>
              <w:widowControl w:val="0"/>
              <w:snapToGrid w:val="0"/>
              <w:spacing w:after="0" w:line="240" w:lineRule="auto"/>
              <w:ind w:right="43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</w:pPr>
            <w:r w:rsidRPr="00367DFE">
              <w:rPr>
                <w:rFonts w:ascii="Times New Roman" w:eastAsia="Lucida Sans Unicode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(руб.)</w:t>
            </w:r>
          </w:p>
        </w:tc>
      </w:tr>
      <w:tr w:rsidR="00367DFE" w:rsidRPr="00367DFE" w:rsidTr="00367DFE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7DFE" w:rsidRPr="00367DFE" w:rsidRDefault="00367DFE" w:rsidP="00367DF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367DFE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7DFE" w:rsidRPr="00367DFE" w:rsidRDefault="00367DFE" w:rsidP="00367DF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367DFE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7DFE" w:rsidRPr="00367DFE" w:rsidRDefault="00367DFE" w:rsidP="00367DFE">
            <w:pPr>
              <w:keepNext/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2" w:hanging="12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367DFE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7DFE" w:rsidRPr="00367DFE" w:rsidRDefault="00367DFE" w:rsidP="00367DFE">
            <w:pPr>
              <w:keepNext/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2" w:hanging="12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367DFE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7DFE" w:rsidRPr="00367DFE" w:rsidRDefault="00367DFE" w:rsidP="00367DFE">
            <w:pPr>
              <w:keepNext/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2" w:hanging="12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367DFE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7DFE" w:rsidRPr="00367DFE" w:rsidRDefault="00367DFE" w:rsidP="00367DFE">
            <w:pPr>
              <w:keepNext/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2" w:hanging="12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367DFE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6</w:t>
            </w:r>
          </w:p>
        </w:tc>
      </w:tr>
      <w:tr w:rsidR="00367DFE" w:rsidRPr="00367DFE" w:rsidTr="00367DFE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FE" w:rsidRPr="00367DFE" w:rsidRDefault="00367DFE" w:rsidP="00367DF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367DFE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FE" w:rsidRPr="00367DFE" w:rsidRDefault="00367DFE" w:rsidP="003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голени немодульный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FE" w:rsidRPr="00367DFE" w:rsidRDefault="00367DFE" w:rsidP="003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FE" w:rsidRPr="00367DFE" w:rsidRDefault="00367DFE" w:rsidP="003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FE" w:rsidRPr="00367DFE" w:rsidRDefault="00367DFE" w:rsidP="003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FE" w:rsidRPr="00367DFE" w:rsidRDefault="00367DFE" w:rsidP="003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DFE" w:rsidRPr="00367DFE" w:rsidTr="00367DFE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FE" w:rsidRPr="00367DFE" w:rsidRDefault="00367DFE" w:rsidP="00367DF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FE" w:rsidRPr="00367DFE" w:rsidRDefault="00367DFE" w:rsidP="003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FE" w:rsidRPr="00367DFE" w:rsidRDefault="00367DFE" w:rsidP="003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немодульный. Формообразующая часть косметической облицовки – должна быть листовой поролон или без облицовки. Косметическое покрытие облицовки – должно быть чулки ортопедические </w:t>
            </w:r>
            <w:proofErr w:type="spellStart"/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силоновые</w:t>
            </w:r>
            <w:proofErr w:type="spellEnd"/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Приёмная гильза должна быть индивидуальная. Материал приемной гильзы: должен быть кожа  или дерево. Крепления протеза должно быть с использованием кожаных полуфабрикатов  или с использованием гильзы (манжеты с шинами) бедра. Стопа с металлическим каркасом, подвижная во всех вертикальных плоскостях или Стопа полиуретановая или без стопы. Тип протеза по назначению: постоянный. Соответствие ГОСТ ISO 10993-1-2011, ГОСТ ISO 10993-5-2011, ГОСТ ISO 10993-10-2011, ГОСТ </w:t>
            </w:r>
            <w:proofErr w:type="gramStart"/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52770-2007, ГОСТ Р 51632-2014, ГОСТ Р ИСО 22523-2007. Срок службы 24 месяца.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FE" w:rsidRPr="00367DFE" w:rsidRDefault="00367DFE" w:rsidP="003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FE" w:rsidRPr="00367DFE" w:rsidRDefault="00367DFE" w:rsidP="003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FE" w:rsidRPr="00367DFE" w:rsidRDefault="00367DFE" w:rsidP="003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190 400,00</w:t>
            </w:r>
          </w:p>
        </w:tc>
      </w:tr>
      <w:tr w:rsidR="00367DFE" w:rsidRPr="00367DFE" w:rsidTr="00367DFE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FE" w:rsidRPr="00367DFE" w:rsidRDefault="00367DFE" w:rsidP="00367DF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367DFE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FE" w:rsidRPr="00367DFE" w:rsidRDefault="00367DFE" w:rsidP="003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бедра немодульный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FE" w:rsidRPr="00367DFE" w:rsidRDefault="00367DFE" w:rsidP="003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немодульный. Формообразующая часть косметической облицовки – должен быть  листовой поролон или без облицовки. Косметическое покрытие облицовки – должны быть чулки ортопедические  </w:t>
            </w:r>
            <w:proofErr w:type="spellStart"/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силоновые</w:t>
            </w:r>
            <w:proofErr w:type="spellEnd"/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Приёмная гильза унифицированная или индивидуальная. Материал приемной гильзы: должен быть кожа или литьевой слоистый пластик на основе полиамидных смол или литьевой слоистый пластик на основе </w:t>
            </w:r>
            <w:proofErr w:type="spellStart"/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ортокриловых</w:t>
            </w:r>
            <w:proofErr w:type="spellEnd"/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 или литьевой слоистый пластик на основе акриловых смол. Крепление протеза должно быть поясное или вакуумное. Стопа должна быть с металлическим каркасом, подвижная во всех вертикальных плоскостях </w:t>
            </w:r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Стопа полиуретановая или без стопы. Коленный шарнир с ручным замком максимальной готовности для немодульных протезов или Коленный должен быть шарнир одноосный </w:t>
            </w:r>
            <w:proofErr w:type="spellStart"/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беззамковый</w:t>
            </w:r>
            <w:proofErr w:type="spellEnd"/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максимальной готовности для немодульных протезов. Тип протеза: постоянный. Соответствие ГОСТ ISO 10993-1-2011, ГОСТ ISO 10993-5-2011, ГОСТ ISO 10993-10-2011, ГОСТ </w:t>
            </w:r>
            <w:proofErr w:type="gramStart"/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52770-2007, ГОСТ Р 51632-2014, ГОСТ Р ИСО 22523-2007. Срок службы 24 месяца.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FE" w:rsidRPr="00367DFE" w:rsidRDefault="00367DFE" w:rsidP="003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46 485,00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FE" w:rsidRPr="00367DFE" w:rsidRDefault="00367DFE" w:rsidP="003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FE" w:rsidRPr="00367DFE" w:rsidRDefault="00367DFE" w:rsidP="003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232 425,00</w:t>
            </w:r>
          </w:p>
        </w:tc>
      </w:tr>
      <w:tr w:rsidR="00367DFE" w:rsidRPr="00367DFE" w:rsidTr="00367DFE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FE" w:rsidRPr="00367DFE" w:rsidRDefault="00367DFE" w:rsidP="00367DF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367DFE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FE" w:rsidRPr="00367DFE" w:rsidRDefault="00367DFE" w:rsidP="003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голени для купания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FE" w:rsidRPr="00367DFE" w:rsidRDefault="00367DFE" w:rsidP="003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голени модульный для купания, с несущей приемной гильзой из слоистого пластика на основе акриловых смол. Стопа должна быть </w:t>
            </w:r>
            <w:proofErr w:type="spellStart"/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бесшарнирная</w:t>
            </w:r>
            <w:proofErr w:type="spellEnd"/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влагозащищенная с рифлёным профилем подошвы. Без косметической облицовки. Комплектующие и РСУ – должен быть влагозащищенный материал на нагрузку до 150 кг. В качестве вкладного элемента могут применяться чехлы полимерные </w:t>
            </w:r>
            <w:proofErr w:type="spellStart"/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гелевые</w:t>
            </w:r>
            <w:proofErr w:type="spellEnd"/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вкладыш из </w:t>
            </w:r>
            <w:proofErr w:type="spellStart"/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педилена</w:t>
            </w:r>
            <w:proofErr w:type="spellEnd"/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Крепление должно быть с помощью герметизирующего наколенника. Тип протеза: специальный. В комплект поставки протеза должны входить: специальные инструменты для сборки протеза (допускается комплектовать по договору с пользователем протеза) (ГОСТ </w:t>
            </w:r>
            <w:proofErr w:type="gramStart"/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53869-2010 п.10). Соответствие ГОСТ ISO 10993-1-2011, ГОСТ ISO 10993-5-2011, ГОСТ ISO 10993-10-2011, ГОСТ </w:t>
            </w:r>
            <w:proofErr w:type="gramStart"/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52770-2007, ГОСТ Р 51632-2014, ГОСТ Р ИСО 22523-2007. Срок службы 36 месяцев.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FE" w:rsidRPr="00367DFE" w:rsidRDefault="00367DFE" w:rsidP="003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FE" w:rsidRPr="00367DFE" w:rsidRDefault="00367DFE" w:rsidP="003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FE" w:rsidRPr="00367DFE" w:rsidRDefault="00367DFE" w:rsidP="003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1 150 000,00</w:t>
            </w:r>
          </w:p>
        </w:tc>
      </w:tr>
      <w:tr w:rsidR="00367DFE" w:rsidRPr="00367DFE" w:rsidTr="00367DFE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FE" w:rsidRPr="00367DFE" w:rsidRDefault="00367DFE" w:rsidP="00367DF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FE" w:rsidRPr="00367DFE" w:rsidRDefault="00367DFE" w:rsidP="003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бедра для купания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FE" w:rsidRPr="00367DFE" w:rsidRDefault="00367DFE" w:rsidP="003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бедра модульный для купания, с несущей приемной гильзой из слоистого пластика на основе акриловых или </w:t>
            </w:r>
            <w:proofErr w:type="spellStart"/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ортокриловых</w:t>
            </w:r>
            <w:proofErr w:type="spellEnd"/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смол. Коленный шарнир должен быть полицентрический с ручным замком, влагозащищенный или коленный шарнир замковый одноосный с фиксатором влагостойкий. Стопа должна быть </w:t>
            </w:r>
            <w:proofErr w:type="spellStart"/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бесшарнирная</w:t>
            </w:r>
            <w:proofErr w:type="spellEnd"/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влагозащищенная с рифлёным профилем подошвы. Комплектующие и РСУ – должен быть влагозащищенный материал на нагрузку до 150 кг. Без косметической облицовки. Крепление вакуумное. Тип протеза: специальный. В комплект поставки протеза должны входить: протез; специальные инструменты для сборки протеза (допускается комплектовать по договору с пользователем протеза) (ГОСТ </w:t>
            </w:r>
            <w:proofErr w:type="gramStart"/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53869-2010 п.10). Соответствие ГОСТ ISO 10993-1-2011, ГОСТ ISO 10993-5-</w:t>
            </w:r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2011, ГОСТ ISO 10993-10-2011, ГОСТ </w:t>
            </w:r>
            <w:proofErr w:type="gramStart"/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52770-2007, ГОСТ Р 51632-2014, ГОСТ Р ИСО 22523-2007. Срок службы 36 месяцев.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FE" w:rsidRPr="00367DFE" w:rsidRDefault="00367DFE" w:rsidP="003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FE" w:rsidRPr="00367DFE" w:rsidRDefault="00367DFE" w:rsidP="003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FE" w:rsidRPr="00367DFE" w:rsidRDefault="00367DFE" w:rsidP="0036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</w:tbl>
    <w:p w:rsidR="00367DFE" w:rsidRPr="00367DFE" w:rsidRDefault="00367DFE" w:rsidP="00367DFE">
      <w:pPr>
        <w:widowControl w:val="0"/>
        <w:tabs>
          <w:tab w:val="left" w:pos="729"/>
          <w:tab w:val="left" w:pos="3555"/>
        </w:tabs>
        <w:suppressAutoHyphens/>
        <w:spacing w:after="0" w:line="240" w:lineRule="atLeast"/>
        <w:ind w:right="-4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67DF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*</w:t>
      </w:r>
      <w:r w:rsidRPr="00367DF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Использование при описании объекта закупки характеристик,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выполняемых работ, потребностями инвалидов.</w:t>
      </w:r>
    </w:p>
    <w:p w:rsidR="00367DFE" w:rsidRPr="00367DFE" w:rsidRDefault="00367DFE" w:rsidP="00367DFE">
      <w:pPr>
        <w:widowControl w:val="0"/>
        <w:tabs>
          <w:tab w:val="left" w:pos="729"/>
          <w:tab w:val="left" w:pos="3555"/>
        </w:tabs>
        <w:suppressAutoHyphens/>
        <w:spacing w:after="0" w:line="240" w:lineRule="atLeast"/>
        <w:ind w:right="-4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67DFE" w:rsidRPr="00367DFE" w:rsidRDefault="00367DFE" w:rsidP="00367DFE">
      <w:pPr>
        <w:tabs>
          <w:tab w:val="left" w:pos="729"/>
          <w:tab w:val="left" w:pos="35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67DF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Требования к качеству выполнения работ:</w:t>
      </w:r>
    </w:p>
    <w:p w:rsidR="00367DFE" w:rsidRPr="00367DFE" w:rsidRDefault="00367DFE" w:rsidP="00367DFE">
      <w:pPr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D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 учетом уровня ампутации и модулирования, применяемого в протезировании: </w:t>
      </w:r>
    </w:p>
    <w:p w:rsidR="00367DFE" w:rsidRPr="00367DFE" w:rsidRDefault="00367DFE" w:rsidP="00367DFE">
      <w:pPr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DF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приемная гильза протеза конечности должна быть изготовлена по индивидуальным параметрам пациента,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367DFE" w:rsidRPr="00367DFE" w:rsidRDefault="00367DFE" w:rsidP="00367DFE">
      <w:pPr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DFE">
        <w:rPr>
          <w:rFonts w:ascii="Times New Roman" w:eastAsia="Times New Roman" w:hAnsi="Times New Roman" w:cs="Times New Roman"/>
          <w:sz w:val="26"/>
          <w:szCs w:val="26"/>
          <w:lang w:eastAsia="ru-RU"/>
        </w:rPr>
        <w:t>- функциональный узел протеза конечности должен выполнять заданную функцию и иметь конструктивно-технологическую завершенность;</w:t>
      </w:r>
    </w:p>
    <w:p w:rsidR="00367DFE" w:rsidRPr="00367DFE" w:rsidRDefault="00367DFE" w:rsidP="00367DFE">
      <w:pPr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D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Работы по обеспечению инвалидов протезами нижних конечностей следует считать эффективно исполненными, если у инвалидов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367DFE" w:rsidRPr="00367DFE" w:rsidRDefault="00367DFE" w:rsidP="00367DFE">
      <w:pPr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367DFE" w:rsidRPr="00367DFE" w:rsidRDefault="00367DFE" w:rsidP="00367DFE">
      <w:pPr>
        <w:tabs>
          <w:tab w:val="left" w:pos="729"/>
          <w:tab w:val="left" w:pos="35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67DF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Требования к безопасности работ:</w:t>
      </w:r>
    </w:p>
    <w:p w:rsidR="00367DFE" w:rsidRPr="00367DFE" w:rsidRDefault="00367DFE" w:rsidP="00367DFE">
      <w:pPr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D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Протезы должны изготавливаться с учетом анатомических дефектов нижней конечности, индивидуально для пациента, при этом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367DF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медико-социальные</w:t>
      </w:r>
      <w:proofErr w:type="gramEnd"/>
      <w:r w:rsidRPr="00367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аспекты.  </w:t>
      </w:r>
    </w:p>
    <w:p w:rsidR="00367DFE" w:rsidRPr="00367DFE" w:rsidRDefault="00367DFE" w:rsidP="00367DFE">
      <w:pPr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D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  </w:t>
      </w:r>
    </w:p>
    <w:p w:rsidR="00367DFE" w:rsidRPr="00367DFE" w:rsidRDefault="00367DFE" w:rsidP="00367DFE">
      <w:pPr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D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Материалы приемных гильз, контактирующих с телом человека, должны быть разрешены к применению.</w:t>
      </w:r>
    </w:p>
    <w:p w:rsidR="00367DFE" w:rsidRPr="00367DFE" w:rsidRDefault="00367DFE" w:rsidP="00367DFE">
      <w:pPr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D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Узлы протезов должны быть стойкими к воздействию физиологических растворов (мочи).</w:t>
      </w:r>
    </w:p>
    <w:p w:rsidR="00367DFE" w:rsidRPr="00367DFE" w:rsidRDefault="00367DFE" w:rsidP="00367DFE">
      <w:pPr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D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Металлические детали протезов должны быть изготовлены из коррозийно-стойких материалов или защищены от коррозии специальными покрытиями: ГОСТ ИСО 22523-2007 «Протезы конечностей и </w:t>
      </w:r>
      <w:proofErr w:type="spellStart"/>
      <w:r w:rsidRPr="00367DFE">
        <w:rPr>
          <w:rFonts w:ascii="Times New Roman" w:eastAsia="Times New Roman" w:hAnsi="Times New Roman" w:cs="Times New Roman"/>
          <w:sz w:val="26"/>
          <w:szCs w:val="26"/>
          <w:lang w:eastAsia="ru-RU"/>
        </w:rPr>
        <w:t>ортезы</w:t>
      </w:r>
      <w:proofErr w:type="spellEnd"/>
      <w:r w:rsidRPr="00367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наружные», п.5. Требования к материалам, п.11. Требования к конструкции, ГОСТ </w:t>
      </w:r>
      <w:proofErr w:type="gramStart"/>
      <w:r w:rsidRPr="00367DF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367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53869-2010 «Протезы нижних конечностей», п.6. Требования надежности, п.7. Требования стойкости к внешним воздействиям и живучести, п.8. Конструктивные требования, п.9. Требования к материалам.</w:t>
      </w:r>
    </w:p>
    <w:p w:rsidR="00367DFE" w:rsidRPr="00367DFE" w:rsidRDefault="00367DFE" w:rsidP="00367DFE">
      <w:pPr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D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Протезы нижних конечностей должны соответствовать требованиям ГОСТ </w:t>
      </w:r>
      <w:proofErr w:type="gramStart"/>
      <w:r w:rsidRPr="00367DF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367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52770-2007 «Изделия медицинские» п.4. Общие положения, ГОСТ </w:t>
      </w:r>
      <w:proofErr w:type="gramStart"/>
      <w:r w:rsidRPr="00367DF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367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51632-2014 «Технические средства реабилитации людей с ограничениями жизнедеятельности» п.4. Общие технические требования, ГОСТ ИСО 22523-2007 «Протезы конечностей и </w:t>
      </w:r>
      <w:proofErr w:type="spellStart"/>
      <w:r w:rsidRPr="00367DFE">
        <w:rPr>
          <w:rFonts w:ascii="Times New Roman" w:eastAsia="Times New Roman" w:hAnsi="Times New Roman" w:cs="Times New Roman"/>
          <w:sz w:val="26"/>
          <w:szCs w:val="26"/>
          <w:lang w:eastAsia="ru-RU"/>
        </w:rPr>
        <w:t>ортезы</w:t>
      </w:r>
      <w:proofErr w:type="spellEnd"/>
      <w:r w:rsidRPr="00367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наружные» п.1. Область применения, п.4. Общие требования, п.12. Технические требования, п.13. Информация, предоставляемая изготовителем, ГОСТ </w:t>
      </w:r>
      <w:proofErr w:type="gramStart"/>
      <w:r w:rsidRPr="00367DF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367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53869-2010 «Протезы нижних конечностей», п.1. Область применения, п.4. Классификация, п.5. Общие требования.</w:t>
      </w:r>
    </w:p>
    <w:p w:rsidR="00367DFE" w:rsidRPr="00367DFE" w:rsidRDefault="00367DFE" w:rsidP="00367DFE">
      <w:pPr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D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назначению: ГОСТ ИСО 22523-2007 «Протезы конечностей и </w:t>
      </w:r>
      <w:proofErr w:type="spellStart"/>
      <w:r w:rsidRPr="00367DFE">
        <w:rPr>
          <w:rFonts w:ascii="Times New Roman" w:eastAsia="Times New Roman" w:hAnsi="Times New Roman" w:cs="Times New Roman"/>
          <w:sz w:val="26"/>
          <w:szCs w:val="26"/>
          <w:lang w:eastAsia="ru-RU"/>
        </w:rPr>
        <w:t>ортезы</w:t>
      </w:r>
      <w:proofErr w:type="spellEnd"/>
      <w:r w:rsidRPr="00367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наружные», п.14. Упаковка. ГОСТ </w:t>
      </w:r>
      <w:proofErr w:type="gramStart"/>
      <w:r w:rsidRPr="00367DF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367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53869-2010 «Протезы нижних конечностей», п.10. Комплектность, п.11. Маркировка, п.12. Упаковка.</w:t>
      </w:r>
    </w:p>
    <w:p w:rsidR="00367DFE" w:rsidRPr="00367DFE" w:rsidRDefault="00367DFE" w:rsidP="00367DFE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5"/>
          <w:szCs w:val="25"/>
          <w:lang w:eastAsia="ru-RU"/>
        </w:rPr>
      </w:pPr>
      <w:r w:rsidRPr="00367D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Проведение работ по обеспечению инвалидов протезами должно осуществляться при наличии действующих деклараций соответствия.</w:t>
      </w:r>
    </w:p>
    <w:p w:rsidR="00367DFE" w:rsidRPr="00367DFE" w:rsidRDefault="00367DFE" w:rsidP="00367DFE">
      <w:pPr>
        <w:tabs>
          <w:tab w:val="left" w:pos="729"/>
          <w:tab w:val="left" w:pos="35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67DF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Требования к месту, условиям, сроку и (или) объему предоставленных гарантий качества работ:</w:t>
      </w:r>
    </w:p>
    <w:p w:rsidR="00367DFE" w:rsidRPr="00367DFE" w:rsidRDefault="00367DFE" w:rsidP="00367DFE">
      <w:pPr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DFE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Гарантийный срок на протез устанавливается со дня выдачи готового изделия Получателю, и его продолжительность составляет - не менее 12 месяцев со дня подписания акта сдачи-приемки работ. Изделия должны иметь установленный производителем срок службы с момента передачи его Получателю не менее срока пользования изделием, утвержденного положениями приказа Министерства труда и социальной защиты Российской Федерации от 13.02.2018 № 85 н «Об утверждении сроков пользования техническими средствами реабилитации, протезами и протезно-ортопедическими изделиями до их замены». Гарантия распространяется на все составляющие изделия, за исключением составляющих, имеющих самостоятельные сроки пользования в соответствии с действующим законодательством. В период гарантийного срока службы производить гарантийный ремонт или замену изделия, вышедшего из строя до истечения гарантийного срока, за счет собственных средств.</w:t>
      </w:r>
      <w:r w:rsidRPr="00367D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67DFE" w:rsidRPr="00367DFE" w:rsidRDefault="00367DFE" w:rsidP="00367DFE">
      <w:pPr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D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 наличие стационарного места обслуживания на территории Ставропольского края для приема заказов, примерки изделий, выдачи готовых изделий и для осуществления гарантийного ремонта в период гарантийного срока службы.</w:t>
      </w:r>
    </w:p>
    <w:p w:rsidR="00367DFE" w:rsidRPr="00367DFE" w:rsidRDefault="00367DFE" w:rsidP="00367DFE">
      <w:pPr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67D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Возмещать расходы за проезд Получателей, а также сопровождающих лиц, для замены или ремонта изделия до истечения его гарантийного срока за счет средств Исполнителя, ремонт осуществляется бесплатно, гарантия должна распространяться на все составляющие изделия</w:t>
      </w:r>
      <w:r w:rsidRPr="00367DF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67DFE" w:rsidRPr="00367DFE" w:rsidRDefault="00367DFE" w:rsidP="00305A6A">
      <w:pPr>
        <w:spacing w:after="240" w:line="240" w:lineRule="auto"/>
        <w:ind w:left="284" w:right="-45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367DFE" w:rsidRPr="00367DFE" w:rsidSect="00367D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AA"/>
    <w:rsid w:val="00127D6F"/>
    <w:rsid w:val="003033AA"/>
    <w:rsid w:val="00305A6A"/>
    <w:rsid w:val="00367DFE"/>
    <w:rsid w:val="00C2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1314</Words>
  <Characters>7495</Characters>
  <Application>Microsoft Office Word</Application>
  <DocSecurity>0</DocSecurity>
  <Lines>62</Lines>
  <Paragraphs>17</Paragraphs>
  <ScaleCrop>false</ScaleCrop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Муслимова Е.В.</dc:creator>
  <cp:keywords/>
  <dc:description/>
  <cp:lastModifiedBy>Муслимова Е.В.</cp:lastModifiedBy>
  <cp:revision>4</cp:revision>
  <dcterms:created xsi:type="dcterms:W3CDTF">2018-10-18T07:23:00Z</dcterms:created>
  <dcterms:modified xsi:type="dcterms:W3CDTF">2018-10-18T07:31:00Z</dcterms:modified>
</cp:coreProperties>
</file>