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77" w:rsidRPr="000E0296" w:rsidRDefault="00F63F85" w:rsidP="00F63F85">
      <w:pPr>
        <w:pStyle w:val="3"/>
        <w:widowControl w:val="0"/>
        <w:jc w:val="left"/>
      </w:pPr>
      <w:r>
        <w:rPr>
          <w:b w:val="0"/>
          <w:bCs w:val="0"/>
          <w:sz w:val="24"/>
          <w:szCs w:val="24"/>
        </w:rPr>
        <w:t xml:space="preserve">                                                            </w:t>
      </w:r>
      <w:r w:rsidR="00EB5177" w:rsidRPr="000E0296">
        <w:t>Техническое задание</w:t>
      </w:r>
    </w:p>
    <w:p w:rsidR="003D4B02" w:rsidRPr="000E0296" w:rsidRDefault="00551C7C" w:rsidP="0031074A">
      <w:pPr>
        <w:pStyle w:val="a3"/>
        <w:keepNext/>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9C63F8" w:rsidRDefault="00551C7C" w:rsidP="0031074A">
      <w:pPr>
        <w:pStyle w:val="a3"/>
        <w:keepNext/>
        <w:tabs>
          <w:tab w:val="left" w:pos="8780"/>
        </w:tabs>
        <w:ind w:left="0" w:firstLine="18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9C63F8">
        <w:rPr>
          <w:bCs/>
        </w:rPr>
        <w:t>В</w:t>
      </w:r>
      <w:r w:rsidR="009C63F8" w:rsidRPr="0050110B">
        <w:rPr>
          <w:bCs/>
        </w:rPr>
        <w:t>ыполнение работ</w:t>
      </w:r>
      <w:r w:rsidR="009C63F8">
        <w:rPr>
          <w:b/>
          <w:bCs/>
        </w:rPr>
        <w:t xml:space="preserve"> </w:t>
      </w:r>
      <w:r w:rsidR="009C63F8">
        <w:rPr>
          <w:rFonts w:eastAsia="Arial Unicode MS"/>
          <w:bCs/>
          <w:szCs w:val="20"/>
        </w:rPr>
        <w:t xml:space="preserve">по изготовлению </w:t>
      </w:r>
      <w:r w:rsidR="009C63F8" w:rsidRPr="002C6407">
        <w:t>протез</w:t>
      </w:r>
      <w:r w:rsidR="009C63F8">
        <w:t>ов</w:t>
      </w:r>
      <w:r w:rsidR="009C63F8" w:rsidRPr="002C6407">
        <w:t xml:space="preserve"> нижн</w:t>
      </w:r>
      <w:r w:rsidR="009C63F8">
        <w:t xml:space="preserve">их </w:t>
      </w:r>
      <w:r w:rsidR="009C63F8" w:rsidRPr="002C6407">
        <w:t>конечност</w:t>
      </w:r>
      <w:r w:rsidR="009C63F8">
        <w:t>ей</w:t>
      </w:r>
      <w:r w:rsidR="009C63F8">
        <w:rPr>
          <w:bCs/>
          <w:szCs w:val="28"/>
        </w:rPr>
        <w:t xml:space="preserve"> </w:t>
      </w:r>
      <w:r w:rsidR="009C63F8">
        <w:t>для застрахованного лица, пострадавшего вследствие несчастного случая на производстве.</w:t>
      </w:r>
    </w:p>
    <w:p w:rsidR="00EB5177" w:rsidRPr="000E0296" w:rsidRDefault="00551C7C" w:rsidP="0031074A">
      <w:pPr>
        <w:pStyle w:val="a3"/>
        <w:keepNext/>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2E5E84">
        <w:t>2</w:t>
      </w:r>
      <w:r w:rsidR="00F21818">
        <w:t xml:space="preserve"> </w:t>
      </w:r>
      <w:r w:rsidR="002E5E84">
        <w:t>штуки</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31074A">
      <w:pPr>
        <w:pStyle w:val="ConsPlusNormal"/>
        <w:keepNext/>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Pr="000E0296">
        <w:rPr>
          <w:rFonts w:ascii="Times New Roman" w:hAnsi="Times New Roman" w:cs="Times New Roman"/>
          <w:bCs/>
          <w:sz w:val="24"/>
        </w:rPr>
        <w:t xml:space="preserve">с даты </w:t>
      </w:r>
      <w:r w:rsidR="00DC2CF0" w:rsidRPr="000E0296">
        <w:rPr>
          <w:rFonts w:ascii="Times New Roman" w:hAnsi="Times New Roman" w:cs="Times New Roman"/>
          <w:bCs/>
          <w:sz w:val="24"/>
        </w:rPr>
        <w:t>подписания</w:t>
      </w:r>
      <w:proofErr w:type="gramEnd"/>
      <w:r w:rsidR="00DC2CF0" w:rsidRPr="000E0296">
        <w:rPr>
          <w:rFonts w:ascii="Times New Roman" w:hAnsi="Times New Roman" w:cs="Times New Roman"/>
          <w:bCs/>
          <w:sz w:val="24"/>
        </w:rPr>
        <w:t xml:space="preserve"> контракта по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2044E6">
        <w:rPr>
          <w:rFonts w:ascii="Times New Roman" w:hAnsi="Times New Roman" w:cs="Times New Roman"/>
          <w:bCs/>
          <w:sz w:val="24"/>
          <w:szCs w:val="24"/>
        </w:rPr>
        <w:t>29</w:t>
      </w:r>
      <w:r w:rsidR="00DC2CF0" w:rsidRPr="000E0296">
        <w:rPr>
          <w:rFonts w:ascii="Times New Roman" w:hAnsi="Times New Roman" w:cs="Times New Roman"/>
          <w:bCs/>
          <w:sz w:val="24"/>
          <w:szCs w:val="24"/>
        </w:rPr>
        <w:t>» декабря 201</w:t>
      </w:r>
      <w:r w:rsidR="00D309C6" w:rsidRPr="000E0296">
        <w:rPr>
          <w:rFonts w:ascii="Times New Roman" w:hAnsi="Times New Roman" w:cs="Times New Roman"/>
          <w:bCs/>
          <w:sz w:val="24"/>
          <w:szCs w:val="24"/>
        </w:rPr>
        <w:t>8</w:t>
      </w:r>
      <w:r w:rsidR="00DC2CF0" w:rsidRPr="000E0296">
        <w:rPr>
          <w:rFonts w:ascii="Times New Roman" w:hAnsi="Times New Roman" w:cs="Times New Roman"/>
          <w:bCs/>
          <w:sz w:val="24"/>
          <w:szCs w:val="24"/>
        </w:rPr>
        <w:t xml:space="preserve"> года включительно, а в рамках взаиморасчетов до полного исполнения Сторонами своих обязательств. </w:t>
      </w:r>
    </w:p>
    <w:p w:rsidR="00DC2CF0" w:rsidRPr="000E0296" w:rsidRDefault="00DC2CF0" w:rsidP="0031074A">
      <w:pPr>
        <w:keepNext/>
        <w:widowControl w:val="0"/>
        <w:jc w:val="both"/>
        <w:rPr>
          <w:bCs/>
          <w:sz w:val="2"/>
          <w:szCs w:val="2"/>
        </w:rPr>
      </w:pPr>
      <w:r w:rsidRPr="000E0296">
        <w:rPr>
          <w:bCs/>
        </w:rPr>
        <w:t xml:space="preserve"> </w:t>
      </w:r>
    </w:p>
    <w:p w:rsidR="00551C7C" w:rsidRPr="000E0296" w:rsidRDefault="00551C7C" w:rsidP="0031074A">
      <w:pPr>
        <w:pStyle w:val="ConsPlusNormal"/>
        <w:keepNext/>
        <w:ind w:firstLine="0"/>
        <w:jc w:val="both"/>
        <w:rPr>
          <w:rFonts w:ascii="Times New Roman" w:hAnsi="Times New Roman" w:cs="Times New Roman"/>
          <w:bCs/>
          <w:sz w:val="2"/>
          <w:szCs w:val="2"/>
        </w:rPr>
      </w:pPr>
    </w:p>
    <w:p w:rsidR="003F1547" w:rsidRPr="000E0296" w:rsidRDefault="003F1547" w:rsidP="0031074A">
      <w:pPr>
        <w:keepNext/>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2044E6">
        <w:rPr>
          <w:bCs/>
          <w:szCs w:val="26"/>
        </w:rPr>
        <w:t>17</w:t>
      </w:r>
      <w:r w:rsidR="00DC2CF0" w:rsidRPr="000E0296">
        <w:rPr>
          <w:bCs/>
          <w:szCs w:val="26"/>
        </w:rPr>
        <w:t>» декабря 201</w:t>
      </w:r>
      <w:r w:rsidR="00D309C6" w:rsidRPr="000E0296">
        <w:rPr>
          <w:bCs/>
          <w:szCs w:val="26"/>
        </w:rPr>
        <w:t>8</w:t>
      </w:r>
      <w:r w:rsidR="00DC2CF0" w:rsidRPr="000E0296">
        <w:rPr>
          <w:bCs/>
          <w:szCs w:val="26"/>
        </w:rPr>
        <w:t xml:space="preserve"> года.</w:t>
      </w:r>
    </w:p>
    <w:p w:rsidR="00EB5177" w:rsidRPr="000E0296" w:rsidRDefault="003F1547" w:rsidP="0031074A">
      <w:pPr>
        <w:keepNext/>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31074A">
      <w:pPr>
        <w:pStyle w:val="a3"/>
        <w:keepNext/>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2E5E84">
        <w:rPr>
          <w:rFonts w:ascii="Times New Roman" w:hAnsi="Times New Roman" w:cs="Times New Roman"/>
          <w:sz w:val="24"/>
          <w:szCs w:val="18"/>
        </w:rPr>
        <w:t>1459650</w:t>
      </w:r>
      <w:r w:rsidR="003A69B4" w:rsidRPr="000E0296">
        <w:rPr>
          <w:rFonts w:ascii="Times New Roman" w:hAnsi="Times New Roman" w:cs="Times New Roman"/>
          <w:sz w:val="24"/>
          <w:szCs w:val="18"/>
        </w:rPr>
        <w:t xml:space="preserve"> </w:t>
      </w:r>
      <w:r w:rsidRPr="000E0296">
        <w:rPr>
          <w:rFonts w:ascii="Times New Roman" w:hAnsi="Times New Roman" w:cs="Times New Roman"/>
          <w:sz w:val="24"/>
        </w:rPr>
        <w:t>руб</w:t>
      </w:r>
      <w:r w:rsidR="002E5E84">
        <w:rPr>
          <w:rFonts w:ascii="Times New Roman" w:hAnsi="Times New Roman" w:cs="Times New Roman"/>
          <w:sz w:val="24"/>
        </w:rPr>
        <w:t>.</w:t>
      </w:r>
      <w:r w:rsidR="00247B1E" w:rsidRPr="000E0296">
        <w:rPr>
          <w:rFonts w:ascii="Times New Roman" w:hAnsi="Times New Roman" w:cs="Times New Roman"/>
          <w:sz w:val="24"/>
        </w:rPr>
        <w:t xml:space="preserve"> </w:t>
      </w:r>
      <w:r w:rsidR="002E5E84">
        <w:rPr>
          <w:rFonts w:ascii="Times New Roman" w:hAnsi="Times New Roman" w:cs="Times New Roman"/>
          <w:sz w:val="24"/>
        </w:rPr>
        <w:t>00</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380817"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bCs/>
          <w:iCs/>
          <w:kern w:val="16"/>
          <w:sz w:val="24"/>
          <w:szCs w:val="24"/>
        </w:rPr>
        <w:t xml:space="preserve">9. Порядок формирование цены Контракта: </w:t>
      </w:r>
      <w:r w:rsidR="00F904FA" w:rsidRPr="000E0296">
        <w:rPr>
          <w:rFonts w:ascii="Times New Roman" w:hAnsi="Times New Roman" w:cs="Times New Roman"/>
          <w:color w:val="000000"/>
          <w:sz w:val="24"/>
          <w:szCs w:val="24"/>
        </w:rPr>
        <w:t xml:space="preserve">Цена Контракта включает в себя все расходы по </w:t>
      </w:r>
      <w:r w:rsidR="00F904FA" w:rsidRPr="000E0296">
        <w:rPr>
          <w:rFonts w:ascii="Times New Roman" w:hAnsi="Times New Roman" w:cs="Times New Roman"/>
          <w:sz w:val="24"/>
        </w:rPr>
        <w:t>изготовлению</w:t>
      </w:r>
      <w:r w:rsidR="00F904FA" w:rsidRPr="000E0296">
        <w:rPr>
          <w:rFonts w:ascii="Times New Roman" w:hAnsi="Times New Roman" w:cs="Times New Roman"/>
        </w:rPr>
        <w:t>,</w:t>
      </w:r>
      <w:r w:rsidR="00F904FA" w:rsidRPr="000E0296">
        <w:rPr>
          <w:rFonts w:ascii="Times New Roman" w:hAnsi="Times New Roman" w:cs="Times New Roman"/>
          <w:color w:val="000000"/>
          <w:sz w:val="24"/>
          <w:szCs w:val="24"/>
        </w:rPr>
        <w:t xml:space="preserve"> хранению, доставке, перевозке, страхованию, уплате таможенных пошлин, налогов, сборов и других обязательных платежей. </w:t>
      </w:r>
    </w:p>
    <w:p w:rsidR="00380817" w:rsidRDefault="00380817" w:rsidP="0031074A">
      <w:pPr>
        <w:pStyle w:val="ab"/>
        <w:keepNext/>
        <w:widowControl w:val="0"/>
        <w:spacing w:before="0" w:beforeAutospacing="0" w:after="0" w:afterAutospacing="0"/>
        <w:jc w:val="both"/>
        <w:rPr>
          <w:rFonts w:ascii="Times New Roman" w:hAnsi="Times New Roman" w:cs="Times New Roman"/>
          <w:sz w:val="24"/>
          <w:szCs w:val="24"/>
        </w:rPr>
      </w:pPr>
      <w:r w:rsidRPr="000E0296">
        <w:rPr>
          <w:rFonts w:ascii="Times New Roman" w:hAnsi="Times New Roman" w:cs="Times New Roman"/>
          <w:b/>
          <w:sz w:val="24"/>
          <w:szCs w:val="24"/>
        </w:rPr>
        <w:t>10.</w:t>
      </w:r>
      <w:r w:rsidRPr="000E0296">
        <w:rPr>
          <w:rFonts w:ascii="Times New Roman" w:hAnsi="Times New Roman" w:cs="Times New Roman"/>
          <w:sz w:val="24"/>
          <w:szCs w:val="24"/>
        </w:rPr>
        <w:t xml:space="preserve"> </w:t>
      </w:r>
      <w:r w:rsidRPr="000E0296">
        <w:rPr>
          <w:rFonts w:ascii="Times New Roman" w:hAnsi="Times New Roman" w:cs="Times New Roman"/>
          <w:b/>
          <w:sz w:val="24"/>
          <w:szCs w:val="24"/>
        </w:rPr>
        <w:t>Требование обеспечения исполнения контракта:</w:t>
      </w:r>
      <w:r w:rsidRPr="000E0296">
        <w:rPr>
          <w:rFonts w:ascii="Times New Roman" w:hAnsi="Times New Roman" w:cs="Times New Roman"/>
          <w:sz w:val="24"/>
          <w:szCs w:val="24"/>
        </w:rPr>
        <w:t xml:space="preserve"> размер обеспечения составляет </w:t>
      </w:r>
      <w:r w:rsidR="002044E6">
        <w:rPr>
          <w:rFonts w:ascii="Times New Roman" w:hAnsi="Times New Roman" w:cs="Times New Roman"/>
          <w:sz w:val="24"/>
          <w:szCs w:val="24"/>
        </w:rPr>
        <w:t>5</w:t>
      </w:r>
      <w:r w:rsidRPr="000E0296">
        <w:rPr>
          <w:rFonts w:ascii="Times New Roman" w:hAnsi="Times New Roman" w:cs="Times New Roman"/>
          <w:sz w:val="24"/>
          <w:szCs w:val="24"/>
        </w:rPr>
        <w:t xml:space="preserve">% от начальной (максимальной) цены контракты и составляет </w:t>
      </w:r>
      <w:r w:rsidR="009C63F8">
        <w:rPr>
          <w:rFonts w:ascii="Times New Roman" w:hAnsi="Times New Roman" w:cs="Times New Roman"/>
          <w:sz w:val="24"/>
          <w:szCs w:val="24"/>
        </w:rPr>
        <w:t>72982,50</w:t>
      </w:r>
      <w:r w:rsidR="003A69B4" w:rsidRPr="000E0296">
        <w:rPr>
          <w:rFonts w:ascii="Times New Roman" w:hAnsi="Times New Roman" w:cs="Times New Roman"/>
          <w:sz w:val="24"/>
          <w:szCs w:val="24"/>
        </w:rPr>
        <w:t xml:space="preserve"> </w:t>
      </w:r>
      <w:r w:rsidRPr="000E0296">
        <w:rPr>
          <w:rFonts w:ascii="Times New Roman" w:hAnsi="Times New Roman" w:cs="Times New Roman"/>
          <w:sz w:val="24"/>
          <w:szCs w:val="24"/>
        </w:rPr>
        <w:t>руб.</w:t>
      </w:r>
    </w:p>
    <w:p w:rsidR="00E62F03" w:rsidRDefault="00E62F03" w:rsidP="0031074A">
      <w:pPr>
        <w:keepNext/>
        <w:widowControl w:val="0"/>
        <w:shd w:val="clear" w:color="auto" w:fill="FFFFFF"/>
        <w:jc w:val="right"/>
        <w:rPr>
          <w:color w:val="000000"/>
          <w:spacing w:val="-1"/>
          <w:sz w:val="23"/>
        </w:rPr>
      </w:pPr>
      <w:r>
        <w:rPr>
          <w:color w:val="000000"/>
          <w:spacing w:val="-1"/>
          <w:sz w:val="23"/>
        </w:rPr>
        <w:t>Таблица №1</w:t>
      </w:r>
    </w:p>
    <w:tbl>
      <w:tblPr>
        <w:tblW w:w="105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7042"/>
        <w:gridCol w:w="1179"/>
        <w:gridCol w:w="770"/>
      </w:tblGrid>
      <w:tr w:rsidR="00E62F03" w:rsidTr="00831852">
        <w:tblPrEx>
          <w:tblCellMar>
            <w:top w:w="0" w:type="dxa"/>
            <w:bottom w:w="0" w:type="dxa"/>
          </w:tblCellMar>
        </w:tblPrEx>
        <w:trPr>
          <w:trHeight w:val="326"/>
        </w:trPr>
        <w:tc>
          <w:tcPr>
            <w:tcW w:w="1598" w:type="dxa"/>
            <w:vAlign w:val="center"/>
          </w:tcPr>
          <w:p w:rsidR="00E62F03" w:rsidRDefault="00E62F03" w:rsidP="0031074A">
            <w:pPr>
              <w:keepNext/>
              <w:widowControl w:val="0"/>
              <w:jc w:val="center"/>
              <w:rPr>
                <w:b/>
                <w:bCs/>
                <w:sz w:val="16"/>
                <w:szCs w:val="22"/>
              </w:rPr>
            </w:pPr>
            <w:r>
              <w:rPr>
                <w:b/>
                <w:bCs/>
                <w:sz w:val="16"/>
                <w:szCs w:val="22"/>
              </w:rPr>
              <w:br w:type="page"/>
              <w:t>Наименование Изделий</w:t>
            </w:r>
          </w:p>
        </w:tc>
        <w:tc>
          <w:tcPr>
            <w:tcW w:w="7042" w:type="dxa"/>
            <w:vAlign w:val="center"/>
          </w:tcPr>
          <w:p w:rsidR="00E62F03" w:rsidRDefault="00E62F03" w:rsidP="0031074A">
            <w:pPr>
              <w:pStyle w:val="2"/>
              <w:widowControl w:val="0"/>
              <w:rPr>
                <w:b/>
                <w:bCs/>
                <w:sz w:val="20"/>
              </w:rPr>
            </w:pPr>
            <w:r>
              <w:rPr>
                <w:b/>
                <w:bCs/>
                <w:sz w:val="20"/>
              </w:rPr>
              <w:t>Описание функциональных и технических характеристик</w:t>
            </w:r>
          </w:p>
        </w:tc>
        <w:tc>
          <w:tcPr>
            <w:tcW w:w="1179" w:type="dxa"/>
            <w:vAlign w:val="center"/>
          </w:tcPr>
          <w:p w:rsidR="00E62F03" w:rsidRDefault="00E62F03" w:rsidP="0031074A">
            <w:pPr>
              <w:keepNext/>
              <w:widowControl w:val="0"/>
              <w:jc w:val="center"/>
              <w:rPr>
                <w:b/>
                <w:bCs/>
                <w:sz w:val="16"/>
                <w:szCs w:val="22"/>
              </w:rPr>
            </w:pPr>
            <w:r>
              <w:rPr>
                <w:b/>
                <w:bCs/>
                <w:sz w:val="16"/>
                <w:szCs w:val="22"/>
              </w:rPr>
              <w:t>Начальная /максимальная Цена за ед. изделия</w:t>
            </w:r>
          </w:p>
          <w:p w:rsidR="00E62F03" w:rsidRDefault="00E62F03" w:rsidP="0031074A">
            <w:pPr>
              <w:keepNext/>
              <w:widowControl w:val="0"/>
              <w:jc w:val="center"/>
              <w:rPr>
                <w:b/>
                <w:bCs/>
                <w:sz w:val="16"/>
                <w:szCs w:val="22"/>
              </w:rPr>
            </w:pPr>
            <w:r>
              <w:rPr>
                <w:b/>
                <w:bCs/>
                <w:sz w:val="16"/>
                <w:szCs w:val="22"/>
              </w:rPr>
              <w:t>(руб.)</w:t>
            </w:r>
          </w:p>
        </w:tc>
        <w:tc>
          <w:tcPr>
            <w:tcW w:w="770" w:type="dxa"/>
            <w:vAlign w:val="center"/>
          </w:tcPr>
          <w:p w:rsidR="00E62F03" w:rsidRDefault="00E62F03" w:rsidP="0031074A">
            <w:pPr>
              <w:keepNext/>
              <w:widowControl w:val="0"/>
              <w:jc w:val="center"/>
              <w:rPr>
                <w:b/>
                <w:bCs/>
                <w:sz w:val="16"/>
                <w:szCs w:val="22"/>
              </w:rPr>
            </w:pPr>
            <w:r>
              <w:rPr>
                <w:b/>
                <w:bCs/>
                <w:sz w:val="16"/>
                <w:szCs w:val="22"/>
              </w:rPr>
              <w:t>Кол-во изделий  (шт.)</w:t>
            </w:r>
          </w:p>
        </w:tc>
      </w:tr>
      <w:tr w:rsidR="00D32A9C" w:rsidTr="00831852">
        <w:tblPrEx>
          <w:tblCellMar>
            <w:top w:w="0" w:type="dxa"/>
            <w:bottom w:w="0" w:type="dxa"/>
          </w:tblCellMar>
        </w:tblPrEx>
        <w:trPr>
          <w:cantSplit/>
          <w:trHeight w:val="700"/>
        </w:trPr>
        <w:tc>
          <w:tcPr>
            <w:tcW w:w="1598" w:type="dxa"/>
          </w:tcPr>
          <w:p w:rsidR="00D32A9C" w:rsidRDefault="00D32A9C" w:rsidP="0031074A">
            <w:pPr>
              <w:keepNext/>
              <w:widowControl w:val="0"/>
              <w:shd w:val="clear" w:color="auto" w:fill="FFFFFF"/>
              <w:tabs>
                <w:tab w:val="left" w:pos="0"/>
              </w:tabs>
              <w:autoSpaceDE w:val="0"/>
              <w:autoSpaceDN w:val="0"/>
              <w:adjustRightInd w:val="0"/>
              <w:ind w:left="72"/>
              <w:jc w:val="center"/>
              <w:rPr>
                <w:sz w:val="20"/>
              </w:rPr>
            </w:pPr>
            <w:r w:rsidRPr="00E16E28">
              <w:rPr>
                <w:sz w:val="20"/>
              </w:rPr>
              <w:t>Протез</w:t>
            </w:r>
            <w:r>
              <w:rPr>
                <w:sz w:val="20"/>
              </w:rPr>
              <w:t xml:space="preserve"> бедра модульный</w:t>
            </w:r>
          </w:p>
          <w:p w:rsidR="00D32A9C" w:rsidRDefault="00D32A9C" w:rsidP="0031074A">
            <w:pPr>
              <w:keepNext/>
              <w:widowControl w:val="0"/>
              <w:shd w:val="clear" w:color="auto" w:fill="FFFFFF"/>
              <w:tabs>
                <w:tab w:val="left" w:pos="0"/>
              </w:tabs>
              <w:autoSpaceDE w:val="0"/>
              <w:autoSpaceDN w:val="0"/>
              <w:adjustRightInd w:val="0"/>
              <w:ind w:left="72"/>
              <w:jc w:val="center"/>
              <w:rPr>
                <w:sz w:val="18"/>
                <w:szCs w:val="27"/>
              </w:rPr>
            </w:pPr>
          </w:p>
        </w:tc>
        <w:tc>
          <w:tcPr>
            <w:tcW w:w="7042" w:type="dxa"/>
          </w:tcPr>
          <w:p w:rsidR="00D32A9C" w:rsidRPr="004642BB" w:rsidRDefault="00D32A9C" w:rsidP="0031074A">
            <w:pPr>
              <w:keepNext/>
              <w:widowControl w:val="0"/>
              <w:jc w:val="both"/>
              <w:rPr>
                <w:sz w:val="22"/>
                <w:szCs w:val="22"/>
              </w:rPr>
            </w:pPr>
            <w:r w:rsidRPr="008D25A8">
              <w:rPr>
                <w:color w:val="000000"/>
                <w:sz w:val="20"/>
              </w:rPr>
              <w:t xml:space="preserve">Протез </w:t>
            </w:r>
            <w:r>
              <w:rPr>
                <w:color w:val="000000"/>
                <w:sz w:val="20"/>
              </w:rPr>
              <w:t xml:space="preserve">бедра должен быть модульный, с несущей приемной гильзой, должен быть индивидуального изготовления по слепку. Должен быть с гидравлическим многоосным коленным шарниром с геометрическим замком, с независимым бесступенчатым механизмом регулирования фазы сгибания и разгибания, должен быть с бесступенчато регулируемым, встроенным гидравлическим модулем эластичного контролируемого подгибания и гашения ударных нагрузок. Должна быть </w:t>
            </w:r>
            <w:proofErr w:type="spellStart"/>
            <w:r>
              <w:rPr>
                <w:color w:val="000000"/>
                <w:sz w:val="20"/>
              </w:rPr>
              <w:t>углепластиковая</w:t>
            </w:r>
            <w:proofErr w:type="spellEnd"/>
            <w:r>
              <w:rPr>
                <w:color w:val="000000"/>
                <w:sz w:val="20"/>
              </w:rPr>
              <w:t xml:space="preserve"> стопа со средней степенью энергосбережения. Должно </w:t>
            </w:r>
            <w:proofErr w:type="gramStart"/>
            <w:r>
              <w:rPr>
                <w:color w:val="000000"/>
                <w:sz w:val="20"/>
              </w:rPr>
              <w:t>быть</w:t>
            </w:r>
            <w:proofErr w:type="gramEnd"/>
            <w:r>
              <w:rPr>
                <w:color w:val="000000"/>
                <w:sz w:val="20"/>
              </w:rPr>
              <w:t xml:space="preserve"> наличие поворотного регулировочно-соединительной устройства, обеспечивающего возможность поворота согнутой в колене искусственной голени относительно гильзы. Должны быть полуфабрикаты – титан (или эквивалент) на нагрузку до 125 кг. Косметическая оболочка должна быть модульная – пенополиуретановая. Крепление должно быть мышечно-вакуумное.</w:t>
            </w:r>
          </w:p>
        </w:tc>
        <w:tc>
          <w:tcPr>
            <w:tcW w:w="1179" w:type="dxa"/>
            <w:vAlign w:val="center"/>
          </w:tcPr>
          <w:p w:rsidR="00D32A9C" w:rsidRPr="00D35C80" w:rsidRDefault="00996EA8" w:rsidP="0031074A">
            <w:pPr>
              <w:pStyle w:val="af6"/>
              <w:keepNext/>
              <w:widowControl w:val="0"/>
              <w:jc w:val="center"/>
              <w:rPr>
                <w:rFonts w:eastAsia="Arial Unicode MS"/>
                <w:sz w:val="22"/>
                <w:szCs w:val="22"/>
              </w:rPr>
            </w:pPr>
            <w:r>
              <w:rPr>
                <w:rFonts w:eastAsia="Arial Unicode MS"/>
                <w:sz w:val="22"/>
                <w:szCs w:val="22"/>
              </w:rPr>
              <w:t>954475,00</w:t>
            </w:r>
          </w:p>
        </w:tc>
        <w:tc>
          <w:tcPr>
            <w:tcW w:w="770" w:type="dxa"/>
            <w:vAlign w:val="center"/>
          </w:tcPr>
          <w:p w:rsidR="00D32A9C" w:rsidRPr="00D35C80" w:rsidRDefault="00D32A9C" w:rsidP="0031074A">
            <w:pPr>
              <w:keepNext/>
              <w:widowControl w:val="0"/>
              <w:jc w:val="center"/>
              <w:rPr>
                <w:sz w:val="22"/>
                <w:szCs w:val="22"/>
              </w:rPr>
            </w:pPr>
            <w:r>
              <w:rPr>
                <w:sz w:val="22"/>
                <w:szCs w:val="22"/>
              </w:rPr>
              <w:t>1</w:t>
            </w:r>
          </w:p>
        </w:tc>
      </w:tr>
      <w:tr w:rsidR="00D32A9C" w:rsidTr="002E5E84">
        <w:tblPrEx>
          <w:tblCellMar>
            <w:top w:w="0" w:type="dxa"/>
            <w:bottom w:w="0" w:type="dxa"/>
          </w:tblCellMar>
        </w:tblPrEx>
        <w:trPr>
          <w:cantSplit/>
          <w:trHeight w:val="1320"/>
        </w:trPr>
        <w:tc>
          <w:tcPr>
            <w:tcW w:w="1598" w:type="dxa"/>
          </w:tcPr>
          <w:p w:rsidR="00D32A9C" w:rsidRDefault="00D32A9C" w:rsidP="0031074A">
            <w:pPr>
              <w:keepNext/>
              <w:widowControl w:val="0"/>
              <w:shd w:val="clear" w:color="auto" w:fill="FFFFFF"/>
              <w:tabs>
                <w:tab w:val="left" w:pos="0"/>
              </w:tabs>
              <w:autoSpaceDE w:val="0"/>
              <w:autoSpaceDN w:val="0"/>
              <w:adjustRightInd w:val="0"/>
              <w:ind w:left="72"/>
              <w:jc w:val="center"/>
              <w:rPr>
                <w:sz w:val="20"/>
              </w:rPr>
            </w:pPr>
            <w:r w:rsidRPr="00E16E28">
              <w:rPr>
                <w:sz w:val="20"/>
              </w:rPr>
              <w:t xml:space="preserve">Протез </w:t>
            </w:r>
            <w:r>
              <w:rPr>
                <w:sz w:val="20"/>
              </w:rPr>
              <w:t>бедра для купания</w:t>
            </w:r>
          </w:p>
          <w:p w:rsidR="00D32A9C" w:rsidRDefault="00D32A9C" w:rsidP="0031074A">
            <w:pPr>
              <w:keepNext/>
              <w:widowControl w:val="0"/>
              <w:shd w:val="clear" w:color="auto" w:fill="FFFFFF"/>
              <w:tabs>
                <w:tab w:val="left" w:pos="0"/>
              </w:tabs>
              <w:autoSpaceDE w:val="0"/>
              <w:autoSpaceDN w:val="0"/>
              <w:adjustRightInd w:val="0"/>
              <w:ind w:left="72"/>
              <w:jc w:val="center"/>
            </w:pPr>
          </w:p>
        </w:tc>
        <w:tc>
          <w:tcPr>
            <w:tcW w:w="7042" w:type="dxa"/>
          </w:tcPr>
          <w:p w:rsidR="00D32A9C" w:rsidRDefault="00D32A9C" w:rsidP="0031074A">
            <w:pPr>
              <w:keepNext/>
              <w:widowControl w:val="0"/>
              <w:jc w:val="both"/>
            </w:pPr>
            <w:r>
              <w:rPr>
                <w:color w:val="000000"/>
                <w:sz w:val="20"/>
              </w:rPr>
              <w:t>Протез бедра должен быть модульный для купания, должен быть с несущей приемной гильзой из антисептического материала, с полимерным чехлом, индивидуального изготовления по слепку, с гидравлическим одноосным коленным шарниром с независимым бесступенчатым механизмом регулирования фазы сгибания и разгибания, с механическим замком, с возможностью вертикальной нагрузки до 150 кг</w:t>
            </w:r>
            <w:proofErr w:type="gramStart"/>
            <w:r>
              <w:rPr>
                <w:color w:val="000000"/>
                <w:sz w:val="20"/>
              </w:rPr>
              <w:t xml:space="preserve">., </w:t>
            </w:r>
            <w:proofErr w:type="gramEnd"/>
            <w:r>
              <w:rPr>
                <w:color w:val="000000"/>
                <w:sz w:val="20"/>
              </w:rPr>
              <w:t>должен быть</w:t>
            </w:r>
          </w:p>
        </w:tc>
        <w:tc>
          <w:tcPr>
            <w:tcW w:w="1179" w:type="dxa"/>
            <w:vAlign w:val="center"/>
          </w:tcPr>
          <w:p w:rsidR="00D32A9C" w:rsidRDefault="00996EA8" w:rsidP="0031074A">
            <w:pPr>
              <w:pStyle w:val="af6"/>
              <w:keepNext/>
              <w:widowControl w:val="0"/>
              <w:jc w:val="center"/>
              <w:rPr>
                <w:rFonts w:eastAsia="Arial Unicode MS"/>
                <w:sz w:val="22"/>
                <w:szCs w:val="22"/>
              </w:rPr>
            </w:pPr>
            <w:r>
              <w:rPr>
                <w:rFonts w:eastAsia="Arial Unicode MS"/>
                <w:sz w:val="22"/>
                <w:szCs w:val="22"/>
              </w:rPr>
              <w:t>505175,00</w:t>
            </w:r>
          </w:p>
        </w:tc>
        <w:tc>
          <w:tcPr>
            <w:tcW w:w="770" w:type="dxa"/>
            <w:vAlign w:val="center"/>
          </w:tcPr>
          <w:p w:rsidR="00D32A9C" w:rsidRDefault="00D32A9C" w:rsidP="0031074A">
            <w:pPr>
              <w:keepNext/>
              <w:widowControl w:val="0"/>
              <w:jc w:val="center"/>
              <w:rPr>
                <w:sz w:val="22"/>
                <w:szCs w:val="22"/>
              </w:rPr>
            </w:pPr>
            <w:r>
              <w:rPr>
                <w:sz w:val="22"/>
                <w:szCs w:val="22"/>
              </w:rPr>
              <w:t>1</w:t>
            </w:r>
          </w:p>
        </w:tc>
      </w:tr>
      <w:tr w:rsidR="002E5E84" w:rsidTr="00831852">
        <w:tblPrEx>
          <w:tblCellMar>
            <w:top w:w="0" w:type="dxa"/>
            <w:bottom w:w="0" w:type="dxa"/>
          </w:tblCellMar>
        </w:tblPrEx>
        <w:trPr>
          <w:cantSplit/>
          <w:trHeight w:val="965"/>
        </w:trPr>
        <w:tc>
          <w:tcPr>
            <w:tcW w:w="1598" w:type="dxa"/>
          </w:tcPr>
          <w:p w:rsidR="002E5E84" w:rsidRPr="00E16E28" w:rsidRDefault="002E5E84" w:rsidP="0031074A">
            <w:pPr>
              <w:keepNext/>
              <w:widowControl w:val="0"/>
              <w:shd w:val="clear" w:color="auto" w:fill="FFFFFF"/>
              <w:tabs>
                <w:tab w:val="left" w:pos="0"/>
              </w:tabs>
              <w:autoSpaceDE w:val="0"/>
              <w:autoSpaceDN w:val="0"/>
              <w:adjustRightInd w:val="0"/>
              <w:ind w:left="72"/>
              <w:jc w:val="center"/>
              <w:rPr>
                <w:sz w:val="20"/>
              </w:rPr>
            </w:pPr>
          </w:p>
        </w:tc>
        <w:tc>
          <w:tcPr>
            <w:tcW w:w="7042" w:type="dxa"/>
          </w:tcPr>
          <w:p w:rsidR="002E5E84" w:rsidRDefault="002E5E84" w:rsidP="0031074A">
            <w:pPr>
              <w:keepNext/>
              <w:widowControl w:val="0"/>
              <w:jc w:val="both"/>
              <w:rPr>
                <w:color w:val="000000"/>
                <w:sz w:val="20"/>
              </w:rPr>
            </w:pPr>
            <w:r>
              <w:rPr>
                <w:color w:val="000000"/>
                <w:sz w:val="20"/>
              </w:rPr>
              <w:t xml:space="preserve"> влагозащищенным. Стопа должная быть влагозащищённая. Полуфабрикаты и </w:t>
            </w:r>
            <w:proofErr w:type="spellStart"/>
            <w:r>
              <w:rPr>
                <w:color w:val="000000"/>
                <w:sz w:val="20"/>
              </w:rPr>
              <w:t>регулировачно-соеденительное</w:t>
            </w:r>
            <w:proofErr w:type="spellEnd"/>
            <w:r>
              <w:rPr>
                <w:color w:val="000000"/>
                <w:sz w:val="20"/>
              </w:rPr>
              <w:t xml:space="preserve"> устройство должны быть из влагозащищенного материала на нагрузку до 150 кг</w:t>
            </w:r>
            <w:proofErr w:type="gramStart"/>
            <w:r>
              <w:rPr>
                <w:color w:val="000000"/>
                <w:sz w:val="20"/>
              </w:rPr>
              <w:t xml:space="preserve">., </w:t>
            </w:r>
            <w:proofErr w:type="gramEnd"/>
            <w:r>
              <w:rPr>
                <w:color w:val="000000"/>
                <w:sz w:val="20"/>
              </w:rPr>
              <w:t>должен быть без косметической облицовки. Крепление должно быть замковым устройством для полимерных чехлов</w:t>
            </w:r>
          </w:p>
        </w:tc>
        <w:tc>
          <w:tcPr>
            <w:tcW w:w="1179" w:type="dxa"/>
            <w:vAlign w:val="center"/>
          </w:tcPr>
          <w:p w:rsidR="002E5E84" w:rsidRDefault="002E5E84" w:rsidP="0031074A">
            <w:pPr>
              <w:pStyle w:val="af6"/>
              <w:keepNext/>
              <w:widowControl w:val="0"/>
              <w:jc w:val="center"/>
              <w:rPr>
                <w:rFonts w:eastAsia="Arial Unicode MS"/>
                <w:sz w:val="22"/>
                <w:szCs w:val="22"/>
              </w:rPr>
            </w:pPr>
          </w:p>
        </w:tc>
        <w:tc>
          <w:tcPr>
            <w:tcW w:w="770" w:type="dxa"/>
            <w:vAlign w:val="center"/>
          </w:tcPr>
          <w:p w:rsidR="002E5E84" w:rsidRDefault="002E5E84" w:rsidP="0031074A">
            <w:pPr>
              <w:keepNext/>
              <w:widowControl w:val="0"/>
              <w:jc w:val="center"/>
              <w:rPr>
                <w:sz w:val="22"/>
                <w:szCs w:val="22"/>
              </w:rPr>
            </w:pPr>
          </w:p>
        </w:tc>
      </w:tr>
    </w:tbl>
    <w:p w:rsidR="00EE1268" w:rsidRPr="000E0296" w:rsidRDefault="00EE1268" w:rsidP="0031074A">
      <w:pPr>
        <w:keepNext/>
        <w:widowControl w:val="0"/>
        <w:shd w:val="clear" w:color="auto" w:fill="FFFFFF"/>
        <w:jc w:val="right"/>
        <w:rPr>
          <w:color w:val="000000"/>
          <w:spacing w:val="-1"/>
          <w:sz w:val="23"/>
        </w:rPr>
      </w:pPr>
    </w:p>
    <w:p w:rsidR="00996EA8" w:rsidRPr="00FD7549" w:rsidRDefault="00996EA8" w:rsidP="0031074A">
      <w:pPr>
        <w:keepNext/>
        <w:widowControl w:val="0"/>
        <w:jc w:val="both"/>
        <w:rPr>
          <w:b/>
        </w:rPr>
      </w:pPr>
      <w:r>
        <w:rPr>
          <w:b/>
        </w:rPr>
        <w:t xml:space="preserve">11. </w:t>
      </w:r>
      <w:r w:rsidRPr="00FD7549">
        <w:rPr>
          <w:b/>
        </w:rPr>
        <w:t>Требования к техническим и функциональным характеристикам:</w:t>
      </w:r>
    </w:p>
    <w:p w:rsidR="00996EA8" w:rsidRDefault="00996EA8" w:rsidP="0031074A">
      <w:pPr>
        <w:keepNext/>
        <w:widowControl w:val="0"/>
        <w:ind w:firstLine="709"/>
        <w:jc w:val="both"/>
        <w:rPr>
          <w:bCs/>
          <w:lang w:bidi="ru-RU"/>
        </w:rPr>
      </w:pPr>
      <w:r w:rsidRPr="00B02978">
        <w:rPr>
          <w:bCs/>
          <w:lang w:bidi="ru-RU"/>
        </w:rPr>
        <w:t>Обеспечение получателей протезами нижних конечностей должно осуществляться в комплекте со всеми необходимыми комплектующими: чехлами, косметическими оболочками</w:t>
      </w:r>
      <w:r>
        <w:rPr>
          <w:bCs/>
          <w:lang w:bidi="ru-RU"/>
        </w:rPr>
        <w:t>.</w:t>
      </w:r>
      <w:r w:rsidRPr="00B02978">
        <w:rPr>
          <w:bCs/>
          <w:lang w:bidi="ru-RU"/>
        </w:rPr>
        <w:t xml:space="preserve"> </w:t>
      </w:r>
    </w:p>
    <w:p w:rsidR="00996EA8" w:rsidRPr="00FA7510" w:rsidRDefault="00996EA8" w:rsidP="0031074A">
      <w:pPr>
        <w:keepNext/>
        <w:widowControl w:val="0"/>
        <w:ind w:firstLine="709"/>
        <w:jc w:val="both"/>
        <w:rPr>
          <w:bCs/>
          <w:lang w:bidi="ru-RU"/>
        </w:rPr>
      </w:pPr>
      <w:r w:rsidRPr="00FA7510">
        <w:rPr>
          <w:bCs/>
          <w:lang w:bidi="ru-RU"/>
        </w:rPr>
        <w:t xml:space="preserve">При </w:t>
      </w:r>
      <w:r>
        <w:rPr>
          <w:bCs/>
          <w:lang w:bidi="ru-RU"/>
        </w:rPr>
        <w:t>выполнении работ</w:t>
      </w:r>
      <w:r w:rsidRPr="00FA7510">
        <w:rPr>
          <w:bCs/>
          <w:lang w:bidi="ru-RU"/>
        </w:rPr>
        <w:t xml:space="preserve"> по </w:t>
      </w:r>
      <w:r>
        <w:rPr>
          <w:bCs/>
          <w:lang w:bidi="ru-RU"/>
        </w:rPr>
        <w:t>изготовлению протезов</w:t>
      </w:r>
      <w:r w:rsidRPr="00FA7510">
        <w:rPr>
          <w:bCs/>
          <w:lang w:bidi="ru-RU"/>
        </w:rPr>
        <w:t xml:space="preserve">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кровообращения. </w:t>
      </w:r>
    </w:p>
    <w:p w:rsidR="00996EA8" w:rsidRPr="00FA7510" w:rsidRDefault="00996EA8" w:rsidP="0031074A">
      <w:pPr>
        <w:keepNext/>
        <w:widowControl w:val="0"/>
        <w:ind w:firstLine="709"/>
        <w:jc w:val="both"/>
        <w:rPr>
          <w:bCs/>
          <w:lang w:bidi="ru-RU"/>
        </w:rPr>
      </w:pPr>
      <w:r w:rsidRPr="00FA7510">
        <w:rPr>
          <w:bCs/>
          <w:lang w:bidi="ru-RU"/>
        </w:rPr>
        <w:t xml:space="preserve">Протезы должны отвечать требованиям Государственных стандартов Российской </w:t>
      </w:r>
      <w:r w:rsidRPr="00FA7510">
        <w:rPr>
          <w:bCs/>
          <w:lang w:bidi="ru-RU"/>
        </w:rPr>
        <w:lastRenderedPageBreak/>
        <w:t xml:space="preserve">Федерации ГОСТ </w:t>
      </w:r>
      <w:proofErr w:type="gramStart"/>
      <w:r w:rsidRPr="00FA7510">
        <w:rPr>
          <w:bCs/>
          <w:lang w:bidi="ru-RU"/>
        </w:rPr>
        <w:t>Р</w:t>
      </w:r>
      <w:proofErr w:type="gramEnd"/>
      <w:r w:rsidRPr="00FA7510">
        <w:rPr>
          <w:bCs/>
          <w:lang w:bidi="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7510">
        <w:rPr>
          <w:bCs/>
          <w:lang w:bidi="ru-RU"/>
        </w:rPr>
        <w:t>Р</w:t>
      </w:r>
      <w:proofErr w:type="gramEnd"/>
      <w:r w:rsidRPr="00FA7510">
        <w:rPr>
          <w:bCs/>
          <w:lang w:bidi="ru-RU"/>
        </w:rPr>
        <w:t xml:space="preserve"> ИСО 9999-2014 «Вспомогательные средства для людей с ограничениями жизнедеятельности. Классификация и терминология»</w:t>
      </w:r>
      <w:r>
        <w:rPr>
          <w:bCs/>
          <w:lang w:bidi="ru-RU"/>
        </w:rPr>
        <w:t>,</w:t>
      </w:r>
      <w:r w:rsidRPr="00FA7510">
        <w:rPr>
          <w:bCs/>
          <w:lang w:bidi="ru-RU"/>
        </w:rPr>
        <w:t xml:space="preserve"> </w:t>
      </w:r>
      <w:r w:rsidRPr="00FD7549">
        <w:t>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w:t>
      </w:r>
      <w:r>
        <w:t>ы</w:t>
      </w:r>
      <w:r w:rsidRPr="00FD7549">
        <w:t xml:space="preserve"> отвечать требованиям Государственного стандарта Российской Федерации ГОСТ </w:t>
      </w:r>
      <w:proofErr w:type="gramStart"/>
      <w:r w:rsidRPr="00FD7549">
        <w:t>Р</w:t>
      </w:r>
      <w:proofErr w:type="gramEnd"/>
      <w:r w:rsidRPr="00FD7549">
        <w:t xml:space="preserve"> 51819-2001 «Протезирование и </w:t>
      </w:r>
      <w:proofErr w:type="spellStart"/>
      <w:r w:rsidRPr="00FD7549">
        <w:t>ортезирование</w:t>
      </w:r>
      <w:proofErr w:type="spellEnd"/>
      <w:r w:rsidRPr="00FD7549">
        <w:t xml:space="preserve"> верхних и нижних конечностей. Термины и определения».</w:t>
      </w:r>
    </w:p>
    <w:p w:rsidR="00996EA8" w:rsidRDefault="00996EA8" w:rsidP="0031074A">
      <w:pPr>
        <w:keepNext/>
        <w:widowControl w:val="0"/>
        <w:ind w:firstLine="709"/>
        <w:jc w:val="both"/>
        <w:rPr>
          <w:bCs/>
          <w:lang w:bidi="ru-RU"/>
        </w:rPr>
      </w:pPr>
      <w:r w:rsidRPr="00FA7510">
        <w:rPr>
          <w:bCs/>
          <w:lang w:bidi="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FA7510">
        <w:rPr>
          <w:bCs/>
          <w:lang w:bidi="ru-RU"/>
        </w:rPr>
        <w:t>Р</w:t>
      </w:r>
      <w:proofErr w:type="gramEnd"/>
      <w:r w:rsidRPr="00FA7510">
        <w:rPr>
          <w:bCs/>
          <w:lang w:bidi="ru-RU"/>
        </w:rPr>
        <w:t xml:space="preserve"> 15.111-</w:t>
      </w:r>
      <w:r>
        <w:rPr>
          <w:bCs/>
          <w:lang w:bidi="ru-RU"/>
        </w:rPr>
        <w:t>97</w:t>
      </w:r>
      <w:r w:rsidRPr="00FA7510">
        <w:rPr>
          <w:bCs/>
          <w:lang w:bidi="ru-RU"/>
        </w:rPr>
        <w:t xml:space="preserve"> «Система разработки и постановки продукции на производство. Технические средства реабилитации инвалидов». </w:t>
      </w:r>
    </w:p>
    <w:p w:rsidR="00996EA8" w:rsidRDefault="00996EA8" w:rsidP="0031074A">
      <w:pPr>
        <w:keepNext/>
        <w:widowControl w:val="0"/>
        <w:jc w:val="both"/>
        <w:rPr>
          <w:lang w:bidi="ru-RU"/>
        </w:rPr>
      </w:pPr>
      <w:r>
        <w:rPr>
          <w:b/>
          <w:lang w:bidi="ru-RU"/>
        </w:rPr>
        <w:t xml:space="preserve">12. </w:t>
      </w:r>
      <w:r w:rsidRPr="00592394">
        <w:rPr>
          <w:b/>
          <w:lang w:bidi="ru-RU"/>
        </w:rPr>
        <w:t xml:space="preserve">Требования к обеспечению </w:t>
      </w:r>
      <w:r>
        <w:rPr>
          <w:b/>
          <w:lang w:bidi="ru-RU"/>
        </w:rPr>
        <w:t>Изделиями.</w:t>
      </w:r>
      <w:r w:rsidRPr="00A76588">
        <w:rPr>
          <w:lang w:bidi="ru-RU"/>
        </w:rPr>
        <w:t xml:space="preserve"> </w:t>
      </w:r>
    </w:p>
    <w:p w:rsidR="00996EA8" w:rsidRPr="00167751" w:rsidRDefault="00996EA8" w:rsidP="0031074A">
      <w:pPr>
        <w:keepNext/>
        <w:widowControl w:val="0"/>
        <w:ind w:firstLine="709"/>
        <w:jc w:val="both"/>
        <w:rPr>
          <w:lang w:bidi="ru-RU"/>
        </w:rPr>
      </w:pPr>
      <w:r w:rsidRPr="00167751">
        <w:rPr>
          <w:lang w:bidi="ru-RU"/>
        </w:rPr>
        <w:t>Обеспечение протезами</w:t>
      </w:r>
      <w:r>
        <w:rPr>
          <w:lang w:bidi="ru-RU"/>
        </w:rPr>
        <w:t xml:space="preserve"> </w:t>
      </w:r>
      <w:r w:rsidRPr="00167751">
        <w:rPr>
          <w:lang w:bidi="ru-RU"/>
        </w:rPr>
        <w:t>конечностей должно включать в себя:</w:t>
      </w:r>
    </w:p>
    <w:p w:rsidR="00996EA8" w:rsidRDefault="00996EA8" w:rsidP="0031074A">
      <w:pPr>
        <w:keepNext/>
        <w:widowControl w:val="0"/>
        <w:jc w:val="both"/>
        <w:rPr>
          <w:lang w:bidi="ru-RU"/>
        </w:rPr>
      </w:pPr>
      <w:r w:rsidRPr="00167751">
        <w:rPr>
          <w:lang w:bidi="ru-RU"/>
        </w:rPr>
        <w:t xml:space="preserve">- </w:t>
      </w:r>
      <w:r w:rsidRPr="0066313B">
        <w:rPr>
          <w:lang w:bidi="ru-RU"/>
        </w:rPr>
        <w:t>изготовление и подборку протезов конечностей</w:t>
      </w:r>
      <w:r w:rsidRPr="0066313B">
        <w:t xml:space="preserve"> индивидуально, с учетом анатомических дефектов нижних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6313B">
        <w:t>медико-социальные</w:t>
      </w:r>
      <w:proofErr w:type="gramEnd"/>
      <w:r w:rsidRPr="0066313B">
        <w:t xml:space="preserve"> аспекты</w:t>
      </w:r>
      <w:r w:rsidRPr="0066313B">
        <w:rPr>
          <w:lang w:bidi="ru-RU"/>
        </w:rPr>
        <w:t>;</w:t>
      </w:r>
      <w:r w:rsidRPr="00A76588">
        <w:rPr>
          <w:lang w:bidi="ru-RU"/>
        </w:rPr>
        <w:t xml:space="preserve"> </w:t>
      </w:r>
    </w:p>
    <w:p w:rsidR="00996EA8" w:rsidRPr="00167751" w:rsidRDefault="00996EA8" w:rsidP="0031074A">
      <w:pPr>
        <w:keepNext/>
        <w:widowControl w:val="0"/>
        <w:jc w:val="both"/>
        <w:rPr>
          <w:lang w:bidi="ru-RU"/>
        </w:rPr>
      </w:pPr>
      <w:r w:rsidRPr="00167751">
        <w:rPr>
          <w:lang w:bidi="ru-RU"/>
        </w:rPr>
        <w:t xml:space="preserve">- </w:t>
      </w:r>
      <w:r>
        <w:rPr>
          <w:lang w:bidi="ru-RU"/>
        </w:rPr>
        <w:t xml:space="preserve">ремонт и </w:t>
      </w:r>
      <w:r w:rsidRPr="00167751">
        <w:rPr>
          <w:lang w:bidi="ru-RU"/>
        </w:rPr>
        <w:t>замену протезов конечностей, в случаях, установленных Контрактом;</w:t>
      </w:r>
    </w:p>
    <w:p w:rsidR="00996EA8" w:rsidRPr="00167751" w:rsidRDefault="00996EA8" w:rsidP="0031074A">
      <w:pPr>
        <w:keepNext/>
        <w:widowControl w:val="0"/>
        <w:jc w:val="both"/>
        <w:rPr>
          <w:lang w:bidi="ru-RU"/>
        </w:rPr>
      </w:pPr>
      <w:r w:rsidRPr="00167751">
        <w:rPr>
          <w:lang w:bidi="ru-RU"/>
        </w:rPr>
        <w:t xml:space="preserve">- консультативно-практическую помощь по использованию, обучение правилам эксплуатации протезов конечностей.  </w:t>
      </w:r>
    </w:p>
    <w:p w:rsidR="00996EA8" w:rsidRDefault="00996EA8" w:rsidP="0031074A">
      <w:pPr>
        <w:keepNext/>
        <w:widowControl w:val="0"/>
        <w:jc w:val="both"/>
      </w:pPr>
      <w:r>
        <w:rPr>
          <w:b/>
        </w:rPr>
        <w:t xml:space="preserve">13. </w:t>
      </w:r>
      <w:r w:rsidRPr="00FD7549">
        <w:rPr>
          <w:b/>
        </w:rPr>
        <w:t>Требования к безопасности выполняемых работ:</w:t>
      </w:r>
      <w:r w:rsidRPr="009F6390">
        <w:t xml:space="preserve"> в</w:t>
      </w:r>
      <w:r w:rsidRPr="009F6390">
        <w:rPr>
          <w:bCs/>
        </w:rPr>
        <w:t>ып</w:t>
      </w:r>
      <w:r w:rsidRPr="00FD7549">
        <w:rPr>
          <w:bCs/>
        </w:rPr>
        <w:t>олнение работ</w:t>
      </w:r>
      <w:r w:rsidRPr="00FD7549">
        <w:rPr>
          <w:b/>
          <w:bCs/>
        </w:rPr>
        <w:t xml:space="preserve"> </w:t>
      </w:r>
      <w:r w:rsidRPr="00FD7549">
        <w:t xml:space="preserve">по обеспечению протезами нижних конечностей </w:t>
      </w:r>
      <w:r>
        <w:t xml:space="preserve">для </w:t>
      </w:r>
      <w:r w:rsidRPr="009F6390">
        <w:rPr>
          <w:lang w:bidi="ru-RU"/>
        </w:rPr>
        <w:t>застрахованных граждан</w:t>
      </w:r>
      <w:r>
        <w:rPr>
          <w:lang w:bidi="ru-RU"/>
        </w:rPr>
        <w:t xml:space="preserve"> </w:t>
      </w:r>
      <w:r w:rsidRPr="00FD7549">
        <w:t>должны осуществляться при наличии:</w:t>
      </w:r>
      <w:r w:rsidRPr="00FD7549">
        <w:rPr>
          <w:b/>
        </w:rPr>
        <w:t xml:space="preserve"> </w:t>
      </w:r>
      <w:r w:rsidRPr="00FD7549">
        <w:t>регистрационных удостоверений;</w:t>
      </w:r>
      <w:r>
        <w:t xml:space="preserve"> </w:t>
      </w:r>
      <w:r w:rsidRPr="00FD7549">
        <w:t xml:space="preserve">деклараций соответствия на продукцию, сертификатов соответствия на протезно-ортопедические изделия. </w:t>
      </w:r>
      <w:r>
        <w:t xml:space="preserve">Исполнителем </w:t>
      </w:r>
      <w:proofErr w:type="gramStart"/>
      <w:r>
        <w:t>п</w:t>
      </w:r>
      <w:r w:rsidRPr="00FD7549">
        <w:t>редоставляются те документы</w:t>
      </w:r>
      <w:proofErr w:type="gramEnd"/>
      <w:r w:rsidRPr="00FD7549">
        <w:t>, которые имеются в наличии на протезы нижних конечностей</w:t>
      </w:r>
      <w:r>
        <w:t>,</w:t>
      </w:r>
      <w:r w:rsidRPr="00FD7549">
        <w:t xml:space="preserve"> указываемых в заявке Участником.</w:t>
      </w:r>
    </w:p>
    <w:p w:rsidR="00996EA8" w:rsidRPr="00FD7549" w:rsidRDefault="00996EA8" w:rsidP="0031074A">
      <w:pPr>
        <w:keepNext/>
        <w:widowControl w:val="0"/>
        <w:ind w:firstLine="709"/>
        <w:jc w:val="both"/>
      </w:pPr>
      <w:r w:rsidRPr="009F6390">
        <w:rPr>
          <w:lang w:bidi="ru-RU"/>
        </w:rPr>
        <w:t xml:space="preserve">Материалы, применяемые при изготовлении </w:t>
      </w:r>
      <w:r>
        <w:rPr>
          <w:lang w:bidi="ru-RU"/>
        </w:rPr>
        <w:t xml:space="preserve">Изделий, </w:t>
      </w:r>
      <w:r w:rsidRPr="009F6390">
        <w:rPr>
          <w:lang w:bidi="ru-RU"/>
        </w:rPr>
        <w:t xml:space="preserve">контактирующие с телом пациента, </w:t>
      </w:r>
      <w:r w:rsidRPr="00FA7510">
        <w:rPr>
          <w:lang w:bidi="ru-RU"/>
        </w:rPr>
        <w:t>должны обладать</w:t>
      </w:r>
      <w:r w:rsidRPr="009F6390">
        <w:rPr>
          <w:lang w:bidi="ru-RU"/>
        </w:rPr>
        <w:t xml:space="preserve"> </w:t>
      </w:r>
      <w:proofErr w:type="spellStart"/>
      <w:r w:rsidRPr="009F6390">
        <w:rPr>
          <w:lang w:bidi="ru-RU"/>
        </w:rPr>
        <w:t>биосовместимостью</w:t>
      </w:r>
      <w:proofErr w:type="spellEnd"/>
      <w:r w:rsidRPr="009F6390">
        <w:rPr>
          <w:lang w:bidi="ru-RU"/>
        </w:rPr>
        <w:t xml:space="preserve"> с кожными покровами человека, не вызывать у него </w:t>
      </w:r>
    </w:p>
    <w:p w:rsidR="00996EA8" w:rsidRPr="00FD7549" w:rsidRDefault="00996EA8" w:rsidP="0031074A">
      <w:pPr>
        <w:keepNext/>
        <w:widowControl w:val="0"/>
        <w:jc w:val="both"/>
        <w:rPr>
          <w:b/>
        </w:rPr>
      </w:pPr>
      <w:r>
        <w:rPr>
          <w:b/>
        </w:rPr>
        <w:t xml:space="preserve">14. </w:t>
      </w:r>
      <w:r w:rsidRPr="00FD7549">
        <w:rPr>
          <w:b/>
        </w:rPr>
        <w:t>Требования к срокам и (или) объему предоставления гарантии качества выполняемых работ:</w:t>
      </w:r>
    </w:p>
    <w:p w:rsidR="00996EA8" w:rsidRPr="00FD7549" w:rsidRDefault="00996EA8" w:rsidP="0031074A">
      <w:pPr>
        <w:keepNext/>
        <w:widowControl w:val="0"/>
        <w:ind w:firstLine="709"/>
        <w:jc w:val="both"/>
      </w:pPr>
      <w:r w:rsidRPr="00FD7549">
        <w:rPr>
          <w:bCs/>
        </w:rPr>
        <w:t>Выполнение работ</w:t>
      </w:r>
      <w:r w:rsidRPr="00FD7549">
        <w:rPr>
          <w:b/>
          <w:bCs/>
        </w:rPr>
        <w:t xml:space="preserve"> </w:t>
      </w:r>
      <w:r w:rsidRPr="00FD7549">
        <w:rPr>
          <w:bCs/>
        </w:rPr>
        <w:t xml:space="preserve">по изготовлению протезов </w:t>
      </w:r>
      <w:r w:rsidRPr="00FD7549">
        <w:t>должны быть осуществлены по индивидуальным заказам пациентов, при наличии направлений Филиала Заказчика.</w:t>
      </w:r>
    </w:p>
    <w:p w:rsidR="00996EA8" w:rsidRDefault="00996EA8" w:rsidP="0031074A">
      <w:pPr>
        <w:keepNext/>
        <w:widowControl w:val="0"/>
        <w:ind w:firstLine="709"/>
        <w:jc w:val="both"/>
        <w:rPr>
          <w:sz w:val="16"/>
        </w:rPr>
      </w:pPr>
      <w:r w:rsidRPr="00FD7549">
        <w:t xml:space="preserve">Гарантийный срок на протезы нижних конечностей устанавливается со дня выдачи готового изделия в эксплуатацию и составляет не менее 24 месяцев. В течение этого срока </w:t>
      </w:r>
      <w:r>
        <w:t>Исполнитель</w:t>
      </w:r>
      <w:r w:rsidRPr="00FD7549">
        <w:t xml:space="preserve"> производит замену или ремонт изделия бесплатно.</w:t>
      </w:r>
      <w:r>
        <w:t xml:space="preserve"> </w:t>
      </w:r>
      <w:r w:rsidRPr="009F6390">
        <w:rPr>
          <w:lang w:bidi="ru-RU"/>
        </w:rPr>
        <w:t xml:space="preserve">Изделие пригодно для ремонта в течение времени его </w:t>
      </w:r>
      <w:r>
        <w:rPr>
          <w:lang w:bidi="ru-RU"/>
        </w:rPr>
        <w:t xml:space="preserve">эксплуатационного </w:t>
      </w:r>
      <w:r w:rsidRPr="009F6390">
        <w:rPr>
          <w:lang w:bidi="ru-RU"/>
        </w:rPr>
        <w:t>назначения.</w:t>
      </w:r>
      <w:r>
        <w:rPr>
          <w:sz w:val="16"/>
        </w:rPr>
        <w:t xml:space="preserve"> </w:t>
      </w:r>
    </w:p>
    <w:p w:rsidR="002044E6" w:rsidRDefault="002044E6" w:rsidP="0031074A">
      <w:pPr>
        <w:pStyle w:val="a3"/>
        <w:keepNext/>
        <w:widowControl w:val="0"/>
        <w:ind w:left="0"/>
        <w:jc w:val="both"/>
        <w:rPr>
          <w:rFonts w:eastAsia="Arial Unicode MS"/>
          <w:sz w:val="18"/>
          <w:szCs w:val="18"/>
        </w:rPr>
      </w:pPr>
    </w:p>
    <w:p w:rsidR="00012AED" w:rsidRDefault="00012AED" w:rsidP="00CF42F7">
      <w:pPr>
        <w:keepNext/>
        <w:widowControl w:val="0"/>
        <w:tabs>
          <w:tab w:val="num" w:pos="0"/>
          <w:tab w:val="left" w:pos="284"/>
        </w:tabs>
        <w:jc w:val="right"/>
      </w:pPr>
    </w:p>
    <w:sectPr w:rsidR="00012AED" w:rsidSect="00AA4DD8">
      <w:pgSz w:w="11905" w:h="16837"/>
      <w:pgMar w:top="1134" w:right="565"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61" w:rsidRDefault="00EA5361">
      <w:r>
        <w:separator/>
      </w:r>
    </w:p>
  </w:endnote>
  <w:endnote w:type="continuationSeparator" w:id="0">
    <w:p w:rsidR="00EA5361" w:rsidRDefault="00EA5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61" w:rsidRDefault="00EA5361">
      <w:r>
        <w:separator/>
      </w:r>
    </w:p>
  </w:footnote>
  <w:footnote w:type="continuationSeparator" w:id="0">
    <w:p w:rsidR="00EA5361" w:rsidRDefault="00EA5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31C7D"/>
    <w:rsid w:val="000348BB"/>
    <w:rsid w:val="0004402D"/>
    <w:rsid w:val="00047FD2"/>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A2A4F"/>
    <w:rsid w:val="000B553C"/>
    <w:rsid w:val="000B57C0"/>
    <w:rsid w:val="000C108B"/>
    <w:rsid w:val="000C316F"/>
    <w:rsid w:val="000C7383"/>
    <w:rsid w:val="000D09FC"/>
    <w:rsid w:val="000E0296"/>
    <w:rsid w:val="000E32DB"/>
    <w:rsid w:val="000F069C"/>
    <w:rsid w:val="0010126C"/>
    <w:rsid w:val="0010552C"/>
    <w:rsid w:val="00113C9C"/>
    <w:rsid w:val="001153A9"/>
    <w:rsid w:val="00122D44"/>
    <w:rsid w:val="00142042"/>
    <w:rsid w:val="00147AB7"/>
    <w:rsid w:val="001541FE"/>
    <w:rsid w:val="00156042"/>
    <w:rsid w:val="0016500C"/>
    <w:rsid w:val="00165E2F"/>
    <w:rsid w:val="00173BD4"/>
    <w:rsid w:val="00190FEB"/>
    <w:rsid w:val="00195176"/>
    <w:rsid w:val="001A3A38"/>
    <w:rsid w:val="001A6F85"/>
    <w:rsid w:val="001B0611"/>
    <w:rsid w:val="001B1EEC"/>
    <w:rsid w:val="001C28CA"/>
    <w:rsid w:val="001E7BFC"/>
    <w:rsid w:val="002044E6"/>
    <w:rsid w:val="0020514D"/>
    <w:rsid w:val="002074BE"/>
    <w:rsid w:val="00215087"/>
    <w:rsid w:val="00216F7A"/>
    <w:rsid w:val="00227740"/>
    <w:rsid w:val="00237B26"/>
    <w:rsid w:val="00245B71"/>
    <w:rsid w:val="0024680A"/>
    <w:rsid w:val="00247B1E"/>
    <w:rsid w:val="00254090"/>
    <w:rsid w:val="0025414D"/>
    <w:rsid w:val="00261367"/>
    <w:rsid w:val="00270377"/>
    <w:rsid w:val="0027191C"/>
    <w:rsid w:val="00272ECD"/>
    <w:rsid w:val="00272F15"/>
    <w:rsid w:val="0028214C"/>
    <w:rsid w:val="00287E05"/>
    <w:rsid w:val="00294EB3"/>
    <w:rsid w:val="002A786F"/>
    <w:rsid w:val="002B2F3B"/>
    <w:rsid w:val="002C6407"/>
    <w:rsid w:val="002E5E84"/>
    <w:rsid w:val="00301880"/>
    <w:rsid w:val="0031074A"/>
    <w:rsid w:val="00316BF4"/>
    <w:rsid w:val="0032055D"/>
    <w:rsid w:val="0032740D"/>
    <w:rsid w:val="003406A5"/>
    <w:rsid w:val="00342FE8"/>
    <w:rsid w:val="0034557E"/>
    <w:rsid w:val="003566CE"/>
    <w:rsid w:val="00357415"/>
    <w:rsid w:val="003602B6"/>
    <w:rsid w:val="00380817"/>
    <w:rsid w:val="00380B02"/>
    <w:rsid w:val="00381466"/>
    <w:rsid w:val="00383196"/>
    <w:rsid w:val="003A0BC0"/>
    <w:rsid w:val="003A42CF"/>
    <w:rsid w:val="003A69B4"/>
    <w:rsid w:val="003B119E"/>
    <w:rsid w:val="003B4862"/>
    <w:rsid w:val="003B66AB"/>
    <w:rsid w:val="003D1015"/>
    <w:rsid w:val="003D1F6B"/>
    <w:rsid w:val="003D386A"/>
    <w:rsid w:val="003D4B02"/>
    <w:rsid w:val="003D4D22"/>
    <w:rsid w:val="003E3A6C"/>
    <w:rsid w:val="003F1547"/>
    <w:rsid w:val="003F2702"/>
    <w:rsid w:val="00426C4B"/>
    <w:rsid w:val="004402B3"/>
    <w:rsid w:val="00444329"/>
    <w:rsid w:val="00444D41"/>
    <w:rsid w:val="004715C5"/>
    <w:rsid w:val="004758E2"/>
    <w:rsid w:val="00484EB4"/>
    <w:rsid w:val="00490614"/>
    <w:rsid w:val="00491C1E"/>
    <w:rsid w:val="00492870"/>
    <w:rsid w:val="004A3CC4"/>
    <w:rsid w:val="004A59C9"/>
    <w:rsid w:val="004B03A5"/>
    <w:rsid w:val="004C7C6F"/>
    <w:rsid w:val="004D4851"/>
    <w:rsid w:val="004D6A93"/>
    <w:rsid w:val="004E1D83"/>
    <w:rsid w:val="004E3217"/>
    <w:rsid w:val="004E37CD"/>
    <w:rsid w:val="004E415E"/>
    <w:rsid w:val="004E5812"/>
    <w:rsid w:val="004E5FF4"/>
    <w:rsid w:val="004F6884"/>
    <w:rsid w:val="00500ACF"/>
    <w:rsid w:val="0050110B"/>
    <w:rsid w:val="00502B06"/>
    <w:rsid w:val="00504342"/>
    <w:rsid w:val="0051442E"/>
    <w:rsid w:val="00515DBA"/>
    <w:rsid w:val="00516E38"/>
    <w:rsid w:val="005216A6"/>
    <w:rsid w:val="005265FB"/>
    <w:rsid w:val="0053679C"/>
    <w:rsid w:val="00551C7C"/>
    <w:rsid w:val="00553B74"/>
    <w:rsid w:val="005607EE"/>
    <w:rsid w:val="00561A81"/>
    <w:rsid w:val="00580AD2"/>
    <w:rsid w:val="00580FD3"/>
    <w:rsid w:val="00581905"/>
    <w:rsid w:val="00581B6C"/>
    <w:rsid w:val="005955EE"/>
    <w:rsid w:val="00597FD5"/>
    <w:rsid w:val="005A0A06"/>
    <w:rsid w:val="005A1BA0"/>
    <w:rsid w:val="005B6F18"/>
    <w:rsid w:val="005B7321"/>
    <w:rsid w:val="005D1E40"/>
    <w:rsid w:val="005D4F5D"/>
    <w:rsid w:val="005D7071"/>
    <w:rsid w:val="005E0657"/>
    <w:rsid w:val="005F7874"/>
    <w:rsid w:val="006007BF"/>
    <w:rsid w:val="00600C92"/>
    <w:rsid w:val="00603FE7"/>
    <w:rsid w:val="00610D7A"/>
    <w:rsid w:val="00616C72"/>
    <w:rsid w:val="00625535"/>
    <w:rsid w:val="00625E59"/>
    <w:rsid w:val="00630444"/>
    <w:rsid w:val="006349B3"/>
    <w:rsid w:val="00647495"/>
    <w:rsid w:val="006512F8"/>
    <w:rsid w:val="00661340"/>
    <w:rsid w:val="0066313B"/>
    <w:rsid w:val="00674E59"/>
    <w:rsid w:val="006818CA"/>
    <w:rsid w:val="006967D8"/>
    <w:rsid w:val="006B3CCC"/>
    <w:rsid w:val="006B558F"/>
    <w:rsid w:val="006B6A54"/>
    <w:rsid w:val="006C56C2"/>
    <w:rsid w:val="006C5CFD"/>
    <w:rsid w:val="006D6DB5"/>
    <w:rsid w:val="006D7278"/>
    <w:rsid w:val="006E5120"/>
    <w:rsid w:val="00700A68"/>
    <w:rsid w:val="00703CA1"/>
    <w:rsid w:val="0072034E"/>
    <w:rsid w:val="00722C97"/>
    <w:rsid w:val="00723FF0"/>
    <w:rsid w:val="007253FF"/>
    <w:rsid w:val="00727C06"/>
    <w:rsid w:val="007337CA"/>
    <w:rsid w:val="00745E26"/>
    <w:rsid w:val="00747416"/>
    <w:rsid w:val="00753F33"/>
    <w:rsid w:val="00754136"/>
    <w:rsid w:val="00754D0B"/>
    <w:rsid w:val="0076114D"/>
    <w:rsid w:val="0076570A"/>
    <w:rsid w:val="007675FF"/>
    <w:rsid w:val="00771574"/>
    <w:rsid w:val="0077481F"/>
    <w:rsid w:val="00782E4A"/>
    <w:rsid w:val="00783E9A"/>
    <w:rsid w:val="00793789"/>
    <w:rsid w:val="007A157B"/>
    <w:rsid w:val="007A26F7"/>
    <w:rsid w:val="007A56AC"/>
    <w:rsid w:val="007A58FE"/>
    <w:rsid w:val="007D2430"/>
    <w:rsid w:val="007D3462"/>
    <w:rsid w:val="007E50E6"/>
    <w:rsid w:val="007F1C3C"/>
    <w:rsid w:val="007F2EBC"/>
    <w:rsid w:val="00800441"/>
    <w:rsid w:val="008263E6"/>
    <w:rsid w:val="00831852"/>
    <w:rsid w:val="008324D3"/>
    <w:rsid w:val="00832F50"/>
    <w:rsid w:val="008364F1"/>
    <w:rsid w:val="008619DE"/>
    <w:rsid w:val="0086251F"/>
    <w:rsid w:val="008661C2"/>
    <w:rsid w:val="0087694D"/>
    <w:rsid w:val="00885D1F"/>
    <w:rsid w:val="00890343"/>
    <w:rsid w:val="00891860"/>
    <w:rsid w:val="00896581"/>
    <w:rsid w:val="00897EAD"/>
    <w:rsid w:val="008A1205"/>
    <w:rsid w:val="008A59CA"/>
    <w:rsid w:val="008A62D6"/>
    <w:rsid w:val="008B29F5"/>
    <w:rsid w:val="008B4CA5"/>
    <w:rsid w:val="008C27EB"/>
    <w:rsid w:val="008C665C"/>
    <w:rsid w:val="008D08C0"/>
    <w:rsid w:val="008E294B"/>
    <w:rsid w:val="008E63F6"/>
    <w:rsid w:val="008F2C1C"/>
    <w:rsid w:val="008F52EC"/>
    <w:rsid w:val="00904C21"/>
    <w:rsid w:val="0091250B"/>
    <w:rsid w:val="00916DFA"/>
    <w:rsid w:val="009263BD"/>
    <w:rsid w:val="0094111B"/>
    <w:rsid w:val="00945364"/>
    <w:rsid w:val="00950D2E"/>
    <w:rsid w:val="009628D0"/>
    <w:rsid w:val="00973703"/>
    <w:rsid w:val="0097786A"/>
    <w:rsid w:val="00977D4C"/>
    <w:rsid w:val="00985011"/>
    <w:rsid w:val="00985DCD"/>
    <w:rsid w:val="009908A9"/>
    <w:rsid w:val="00990A3C"/>
    <w:rsid w:val="00996706"/>
    <w:rsid w:val="00996EA8"/>
    <w:rsid w:val="009A1D18"/>
    <w:rsid w:val="009A4FAA"/>
    <w:rsid w:val="009A743D"/>
    <w:rsid w:val="009B3BAA"/>
    <w:rsid w:val="009B61D1"/>
    <w:rsid w:val="009C1C14"/>
    <w:rsid w:val="009C63F8"/>
    <w:rsid w:val="009D2D9A"/>
    <w:rsid w:val="009D3AA0"/>
    <w:rsid w:val="009E0ED4"/>
    <w:rsid w:val="009E3D92"/>
    <w:rsid w:val="009F0544"/>
    <w:rsid w:val="00A0011F"/>
    <w:rsid w:val="00A04D66"/>
    <w:rsid w:val="00A0610D"/>
    <w:rsid w:val="00A07F6B"/>
    <w:rsid w:val="00A56DD8"/>
    <w:rsid w:val="00A721FF"/>
    <w:rsid w:val="00A74850"/>
    <w:rsid w:val="00A76940"/>
    <w:rsid w:val="00A81DF2"/>
    <w:rsid w:val="00A84040"/>
    <w:rsid w:val="00A87B96"/>
    <w:rsid w:val="00A95BAD"/>
    <w:rsid w:val="00A964AE"/>
    <w:rsid w:val="00AA1B34"/>
    <w:rsid w:val="00AA470A"/>
    <w:rsid w:val="00AA4DD8"/>
    <w:rsid w:val="00AA51F6"/>
    <w:rsid w:val="00AB72A1"/>
    <w:rsid w:val="00AC50F0"/>
    <w:rsid w:val="00AC5C60"/>
    <w:rsid w:val="00AD31B8"/>
    <w:rsid w:val="00AD6F3E"/>
    <w:rsid w:val="00AF356A"/>
    <w:rsid w:val="00AF630D"/>
    <w:rsid w:val="00B20AE8"/>
    <w:rsid w:val="00B24076"/>
    <w:rsid w:val="00B30247"/>
    <w:rsid w:val="00B4211B"/>
    <w:rsid w:val="00B4690E"/>
    <w:rsid w:val="00B538D7"/>
    <w:rsid w:val="00B616BB"/>
    <w:rsid w:val="00B737F6"/>
    <w:rsid w:val="00B74167"/>
    <w:rsid w:val="00B80514"/>
    <w:rsid w:val="00B814B3"/>
    <w:rsid w:val="00B8607C"/>
    <w:rsid w:val="00BA44F4"/>
    <w:rsid w:val="00BA48CF"/>
    <w:rsid w:val="00BA56F0"/>
    <w:rsid w:val="00BB4884"/>
    <w:rsid w:val="00BB6977"/>
    <w:rsid w:val="00BB7F41"/>
    <w:rsid w:val="00BC012F"/>
    <w:rsid w:val="00BC033E"/>
    <w:rsid w:val="00BC0E51"/>
    <w:rsid w:val="00BC3CBB"/>
    <w:rsid w:val="00BD2C84"/>
    <w:rsid w:val="00BE0D7D"/>
    <w:rsid w:val="00BF234D"/>
    <w:rsid w:val="00C1070E"/>
    <w:rsid w:val="00C12828"/>
    <w:rsid w:val="00C14ED4"/>
    <w:rsid w:val="00C171B7"/>
    <w:rsid w:val="00C2442F"/>
    <w:rsid w:val="00C32D77"/>
    <w:rsid w:val="00C379CE"/>
    <w:rsid w:val="00C40B77"/>
    <w:rsid w:val="00C41810"/>
    <w:rsid w:val="00C4423F"/>
    <w:rsid w:val="00C52695"/>
    <w:rsid w:val="00C62EA6"/>
    <w:rsid w:val="00C7109C"/>
    <w:rsid w:val="00C77B2C"/>
    <w:rsid w:val="00C8121B"/>
    <w:rsid w:val="00C84408"/>
    <w:rsid w:val="00C91446"/>
    <w:rsid w:val="00C94763"/>
    <w:rsid w:val="00C96E1F"/>
    <w:rsid w:val="00CA126A"/>
    <w:rsid w:val="00CA1E85"/>
    <w:rsid w:val="00CB0A39"/>
    <w:rsid w:val="00CB2C89"/>
    <w:rsid w:val="00CB34FE"/>
    <w:rsid w:val="00CC40EC"/>
    <w:rsid w:val="00CC4156"/>
    <w:rsid w:val="00CD4575"/>
    <w:rsid w:val="00CE7BF9"/>
    <w:rsid w:val="00CF19B0"/>
    <w:rsid w:val="00CF42F7"/>
    <w:rsid w:val="00CF5221"/>
    <w:rsid w:val="00CF56C3"/>
    <w:rsid w:val="00CF7393"/>
    <w:rsid w:val="00D11C51"/>
    <w:rsid w:val="00D215EB"/>
    <w:rsid w:val="00D227DA"/>
    <w:rsid w:val="00D273CB"/>
    <w:rsid w:val="00D309C6"/>
    <w:rsid w:val="00D32A9C"/>
    <w:rsid w:val="00D34CB1"/>
    <w:rsid w:val="00D355CC"/>
    <w:rsid w:val="00D35C80"/>
    <w:rsid w:val="00D47889"/>
    <w:rsid w:val="00D55C7B"/>
    <w:rsid w:val="00D5644E"/>
    <w:rsid w:val="00D57A98"/>
    <w:rsid w:val="00D61DD6"/>
    <w:rsid w:val="00D63E15"/>
    <w:rsid w:val="00D645D8"/>
    <w:rsid w:val="00D66E90"/>
    <w:rsid w:val="00D67714"/>
    <w:rsid w:val="00D67C08"/>
    <w:rsid w:val="00D708EE"/>
    <w:rsid w:val="00D73B00"/>
    <w:rsid w:val="00D76413"/>
    <w:rsid w:val="00D769CC"/>
    <w:rsid w:val="00D93EC2"/>
    <w:rsid w:val="00DA1446"/>
    <w:rsid w:val="00DA4684"/>
    <w:rsid w:val="00DB1478"/>
    <w:rsid w:val="00DC2CF0"/>
    <w:rsid w:val="00DC6F34"/>
    <w:rsid w:val="00DC7AFA"/>
    <w:rsid w:val="00DD7CCC"/>
    <w:rsid w:val="00DF0831"/>
    <w:rsid w:val="00DF0B39"/>
    <w:rsid w:val="00DF0CAC"/>
    <w:rsid w:val="00DF1843"/>
    <w:rsid w:val="00DF39CA"/>
    <w:rsid w:val="00DF5B67"/>
    <w:rsid w:val="00E02E61"/>
    <w:rsid w:val="00E10F70"/>
    <w:rsid w:val="00E2002C"/>
    <w:rsid w:val="00E20986"/>
    <w:rsid w:val="00E25936"/>
    <w:rsid w:val="00E264AF"/>
    <w:rsid w:val="00E3320C"/>
    <w:rsid w:val="00E41573"/>
    <w:rsid w:val="00E43168"/>
    <w:rsid w:val="00E57748"/>
    <w:rsid w:val="00E62F03"/>
    <w:rsid w:val="00E92B02"/>
    <w:rsid w:val="00EA5361"/>
    <w:rsid w:val="00EA5A3B"/>
    <w:rsid w:val="00EB1E23"/>
    <w:rsid w:val="00EB283E"/>
    <w:rsid w:val="00EB38C1"/>
    <w:rsid w:val="00EB44B3"/>
    <w:rsid w:val="00EB5177"/>
    <w:rsid w:val="00EB7C77"/>
    <w:rsid w:val="00EC6E89"/>
    <w:rsid w:val="00ED0842"/>
    <w:rsid w:val="00ED3E22"/>
    <w:rsid w:val="00EE1268"/>
    <w:rsid w:val="00EE5A1C"/>
    <w:rsid w:val="00F00E16"/>
    <w:rsid w:val="00F01144"/>
    <w:rsid w:val="00F035CD"/>
    <w:rsid w:val="00F07819"/>
    <w:rsid w:val="00F2074B"/>
    <w:rsid w:val="00F21818"/>
    <w:rsid w:val="00F46DA9"/>
    <w:rsid w:val="00F566BD"/>
    <w:rsid w:val="00F572E0"/>
    <w:rsid w:val="00F63F85"/>
    <w:rsid w:val="00F665BA"/>
    <w:rsid w:val="00F74C99"/>
    <w:rsid w:val="00F76B07"/>
    <w:rsid w:val="00F904FA"/>
    <w:rsid w:val="00F9606A"/>
    <w:rsid w:val="00F97EBC"/>
    <w:rsid w:val="00FA1D99"/>
    <w:rsid w:val="00FA27A5"/>
    <w:rsid w:val="00FB6F86"/>
    <w:rsid w:val="00FC0C1D"/>
    <w:rsid w:val="00FD04AE"/>
    <w:rsid w:val="00FE291F"/>
    <w:rsid w:val="00FE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3960A-70E2-4C38-B522-8B17B8F8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6587</CharactersWithSpaces>
  <SharedDoc>false</SharedDoc>
  <HLinks>
    <vt:vector size="12" baseType="variant">
      <vt:variant>
        <vt:i4>2228261</vt:i4>
      </vt:variant>
      <vt:variant>
        <vt:i4>20900</vt:i4>
      </vt:variant>
      <vt:variant>
        <vt:i4>1026</vt:i4>
      </vt:variant>
      <vt:variant>
        <vt:i4>1</vt:i4>
      </vt:variant>
      <vt:variant>
        <vt:lpwstr>http://www.1gl.ru/system/content/feature/image/2633957/</vt:lpwstr>
      </vt:variant>
      <vt:variant>
        <vt:lpwstr/>
      </vt:variant>
      <vt:variant>
        <vt:i4>2228261</vt:i4>
      </vt:variant>
      <vt:variant>
        <vt:i4>21892</vt:i4>
      </vt:variant>
      <vt:variant>
        <vt:i4>1028</vt:i4>
      </vt:variant>
      <vt:variant>
        <vt:i4>1</vt:i4>
      </vt:variant>
      <vt:variant>
        <vt:lpwstr>http://www.1gl.ru/system/content/feature/image/2633957/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2018-10-12T06:20:00Z</cp:lastPrinted>
  <dcterms:created xsi:type="dcterms:W3CDTF">2018-10-18T10:48:00Z</dcterms:created>
  <dcterms:modified xsi:type="dcterms:W3CDTF">2018-10-18T10:48:00Z</dcterms:modified>
</cp:coreProperties>
</file>