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DE" w:rsidRDefault="008C37DE" w:rsidP="008C37DE">
      <w:pPr>
        <w:widowControl w:val="0"/>
        <w:jc w:val="both"/>
        <w:rPr>
          <w:b/>
        </w:rPr>
      </w:pPr>
      <w:r w:rsidRPr="00EC0FCC">
        <w:rPr>
          <w:b/>
        </w:rPr>
        <w:t>Описание объекта закупки (техническое задание)</w:t>
      </w:r>
    </w:p>
    <w:p w:rsidR="008C37DE" w:rsidRDefault="008C37DE" w:rsidP="008C37DE">
      <w:pPr>
        <w:widowControl w:val="0"/>
        <w:jc w:val="both"/>
        <w:rPr>
          <w:b/>
        </w:rPr>
      </w:pPr>
    </w:p>
    <w:p w:rsidR="008C37DE" w:rsidRPr="00024713" w:rsidRDefault="008C37DE" w:rsidP="008C37DE">
      <w:pPr>
        <w:autoSpaceDE w:val="0"/>
        <w:autoSpaceDN w:val="0"/>
        <w:adjustRightInd w:val="0"/>
        <w:jc w:val="both"/>
      </w:pPr>
      <w:r w:rsidRPr="00024713">
        <w:t>Исполнитель должен выполнять работы в соответствии с требованиями, предъявляемыми в настоящем техническом задании, в период действия государственного контракта.</w:t>
      </w:r>
    </w:p>
    <w:p w:rsidR="008C37DE" w:rsidRPr="00024713" w:rsidRDefault="008C37DE" w:rsidP="008C37DE">
      <w:pPr>
        <w:autoSpaceDE w:val="0"/>
        <w:autoSpaceDN w:val="0"/>
        <w:adjustRightInd w:val="0"/>
        <w:jc w:val="both"/>
      </w:pPr>
    </w:p>
    <w:p w:rsidR="008C37DE" w:rsidRPr="00024713" w:rsidRDefault="008C37DE" w:rsidP="008C37DE">
      <w:pPr>
        <w:jc w:val="both"/>
        <w:rPr>
          <w:rFonts w:eastAsia="Arial Unicode MS"/>
        </w:rPr>
      </w:pPr>
      <w:r w:rsidRPr="00024713">
        <w:rPr>
          <w:b/>
        </w:rPr>
        <w:t>Срок выполнения работ:</w:t>
      </w:r>
      <w:r w:rsidRPr="00024713">
        <w:t xml:space="preserve"> со дня, следующего за днем заключения государственного контракта, до 12.12.2018 включительно.</w:t>
      </w:r>
    </w:p>
    <w:p w:rsidR="008C37DE" w:rsidRPr="00024713" w:rsidRDefault="008C37DE" w:rsidP="008C37DE">
      <w:pPr>
        <w:jc w:val="both"/>
        <w:rPr>
          <w:bCs/>
          <w:color w:val="FF0000"/>
          <w:sz w:val="28"/>
          <w:szCs w:val="28"/>
        </w:rPr>
      </w:pPr>
      <w:r w:rsidRPr="00024713">
        <w:rPr>
          <w:b/>
        </w:rPr>
        <w:t>Сроки завершения работы:</w:t>
      </w:r>
      <w:r w:rsidRPr="00024713">
        <w:t xml:space="preserve"> до 12.12.2018 включительно.</w:t>
      </w:r>
    </w:p>
    <w:p w:rsidR="008C37DE" w:rsidRPr="00024713" w:rsidRDefault="008C37DE" w:rsidP="008C37DE">
      <w:pPr>
        <w:jc w:val="both"/>
      </w:pPr>
    </w:p>
    <w:p w:rsidR="008C37DE" w:rsidRPr="00024713" w:rsidRDefault="008C37DE" w:rsidP="008C37DE">
      <w:pPr>
        <w:jc w:val="both"/>
      </w:pPr>
      <w:r w:rsidRPr="00024713">
        <w:t>1. В рамках выполнения работ Исполнитель обязан:</w:t>
      </w:r>
    </w:p>
    <w:p w:rsidR="008C37DE" w:rsidRPr="00024713" w:rsidRDefault="008C37DE" w:rsidP="008C37DE">
      <w:pPr>
        <w:jc w:val="both"/>
      </w:pPr>
      <w:r w:rsidRPr="00024713">
        <w:rPr>
          <w:rFonts w:ascii="Times New Roman CYR" w:hAnsi="Times New Roman CYR" w:cs="Times New Roman CYR"/>
        </w:rPr>
        <w:t xml:space="preserve">1.1. </w:t>
      </w:r>
      <w:r w:rsidRPr="00024713">
        <w:t>Осуществлять изготовление пострадавшим от несчастных случаев на производстве и профессиональных заболеваний (далее – Получатели) протезов нижних конечностей (далее – Изделия). Изготовленные Изделия должны иметь действующие декларации о соответствии, оформленные в соответствии с законодательством Российской Федерации.</w:t>
      </w:r>
    </w:p>
    <w:p w:rsidR="008C37DE" w:rsidRPr="00024713" w:rsidRDefault="008C37DE" w:rsidP="008C37DE">
      <w:pPr>
        <w:jc w:val="both"/>
      </w:pPr>
      <w:r w:rsidRPr="00024713">
        <w:t>В случае</w:t>
      </w:r>
      <w:r>
        <w:t>,</w:t>
      </w:r>
      <w:r w:rsidRPr="00024713">
        <w:t xml:space="preserve"> если ранее (в соответствии с нормативно-правовыми актами Росс</w:t>
      </w:r>
      <w:r>
        <w:t>ийской Федерации) Изделия подлежали</w:t>
      </w:r>
      <w:r w:rsidRPr="00024713">
        <w:t xml:space="preserve"> обязательной сертификации, </w:t>
      </w:r>
      <w:r>
        <w:t>допускается изготовление Изделий, имеющих действующие</w:t>
      </w:r>
      <w:r w:rsidRPr="00024713">
        <w:t xml:space="preserve"> сертификат</w:t>
      </w:r>
      <w:r>
        <w:t>ы</w:t>
      </w:r>
      <w:r w:rsidRPr="00024713">
        <w:t xml:space="preserve"> соответствия.</w:t>
      </w:r>
    </w:p>
    <w:p w:rsidR="008C37DE" w:rsidRPr="00024713" w:rsidRDefault="008C37DE" w:rsidP="008C37DE">
      <w:pPr>
        <w:jc w:val="both"/>
      </w:pPr>
      <w:r w:rsidRPr="00024713">
        <w:t>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w:t>
      </w:r>
    </w:p>
    <w:p w:rsidR="008C37DE" w:rsidRPr="003027F2" w:rsidRDefault="008C37DE" w:rsidP="008C37DE">
      <w:pPr>
        <w:suppressAutoHyphens/>
        <w:autoSpaceDE w:val="0"/>
        <w:jc w:val="both"/>
        <w:rPr>
          <w:lang w:eastAsia="ar-SA"/>
        </w:rPr>
      </w:pPr>
      <w:r w:rsidRPr="003027F2">
        <w:rPr>
          <w:lang w:eastAsia="ar-SA"/>
        </w:rPr>
        <w:t>1.2. Осуществить передачу Изделия Получателю при представлении им документа, удостоверяющего личность, и направления Заказчика. В случае</w:t>
      </w:r>
      <w:r w:rsidRPr="00DF3C4F">
        <w:rPr>
          <w:lang w:eastAsia="ar-SA"/>
        </w:rPr>
        <w:t>,</w:t>
      </w:r>
      <w:r w:rsidRPr="003027F2">
        <w:rPr>
          <w:lang w:eastAsia="ar-SA"/>
        </w:rPr>
        <w:t xml:space="preserve"> если от имени Получателя действует его представитель, то дополнительно предъявляется документ, подтверждающий полномочия представителя (при этом требовать документ (копию документа), удостоверяющего личность Получателя </w:t>
      </w:r>
      <w:r>
        <w:rPr>
          <w:lang w:eastAsia="ar-SA"/>
        </w:rPr>
        <w:t>не допускается)</w:t>
      </w:r>
      <w:r w:rsidRPr="003027F2">
        <w:rPr>
          <w:lang w:eastAsia="ar-SA"/>
        </w:rPr>
        <w:t>.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8C37DE" w:rsidRPr="003027F2" w:rsidRDefault="008C37DE" w:rsidP="008C37DE">
      <w:pPr>
        <w:suppressAutoHyphens/>
        <w:autoSpaceDE w:val="0"/>
        <w:jc w:val="both"/>
        <w:rPr>
          <w:lang w:eastAsia="ar-SA"/>
        </w:rPr>
      </w:pPr>
      <w:r w:rsidRPr="003027F2">
        <w:rPr>
          <w:lang w:eastAsia="ar-SA"/>
        </w:rPr>
        <w:t>1.3 Выполнять работы по изготовлению Изделий по индивидуальным размерам Получателей и в зависимости от вида имеющейся патологии, выдачу Изделий, гарантийного талона, обучение пользованию Изделиями в срок не более 30 (тридцати) рабочих дней со дня обращения Получателя.</w:t>
      </w:r>
    </w:p>
    <w:p w:rsidR="008C37DE" w:rsidRPr="003027F2" w:rsidRDefault="008C37DE" w:rsidP="008C37DE">
      <w:pPr>
        <w:suppressAutoHyphens/>
        <w:jc w:val="both"/>
        <w:rPr>
          <w:lang w:eastAsia="ar-SA"/>
        </w:rPr>
      </w:pPr>
      <w:r w:rsidRPr="003027F2">
        <w:rPr>
          <w:lang w:eastAsia="ar-SA"/>
        </w:rPr>
        <w:t>1.4. Осуществлять гарантийный ремонт Изделий за счет собственных средств в пери</w:t>
      </w:r>
      <w:r>
        <w:rPr>
          <w:lang w:eastAsia="ar-SA"/>
        </w:rPr>
        <w:t>од гарантийного срока на Изделия</w:t>
      </w:r>
      <w:r w:rsidRPr="003027F2">
        <w:rPr>
          <w:lang w:eastAsia="ar-SA"/>
        </w:rPr>
        <w:t>. Гарантийный срок И</w:t>
      </w:r>
      <w:r>
        <w:rPr>
          <w:lang w:eastAsia="ar-SA"/>
        </w:rPr>
        <w:t>зделий должен составлять</w:t>
      </w:r>
      <w:r w:rsidRPr="003027F2">
        <w:rPr>
          <w:lang w:eastAsia="ar-SA"/>
        </w:rPr>
        <w:t xml:space="preserve"> не мене</w:t>
      </w:r>
      <w:r>
        <w:rPr>
          <w:lang w:eastAsia="ar-SA"/>
        </w:rPr>
        <w:t>е</w:t>
      </w:r>
      <w:r w:rsidRPr="003027F2">
        <w:rPr>
          <w:lang w:eastAsia="ar-SA"/>
        </w:rPr>
        <w:t xml:space="preserve"> 12 </w:t>
      </w:r>
      <w:r>
        <w:rPr>
          <w:lang w:eastAsia="ar-SA"/>
        </w:rPr>
        <w:t xml:space="preserve">(двенадцати) </w:t>
      </w:r>
      <w:r w:rsidRPr="003027F2">
        <w:rPr>
          <w:lang w:eastAsia="ar-SA"/>
        </w:rPr>
        <w:t xml:space="preserve">месяцев с момента получения Изделия Получателем. Срок выполнения гарантийного ремонта со дня обращения Получателя не должен превышать 15 </w:t>
      </w:r>
      <w:r>
        <w:rPr>
          <w:lang w:eastAsia="ar-SA"/>
        </w:rPr>
        <w:t xml:space="preserve">(пятнадцать) </w:t>
      </w:r>
      <w:r w:rsidRPr="003027F2">
        <w:rPr>
          <w:lang w:eastAsia="ar-SA"/>
        </w:rPr>
        <w:t>рабочих дней. Обеспечение возможности ремонта, устранения недостатков при выполнении работ по изготовлению Изделий осуществляется в соответствии с Фе</w:t>
      </w:r>
      <w:r w:rsidRPr="00DF3C4F">
        <w:rPr>
          <w:lang w:eastAsia="ar-SA"/>
        </w:rPr>
        <w:t>деральным законом от 07.02.1992</w:t>
      </w:r>
      <w:r w:rsidRPr="003027F2">
        <w:rPr>
          <w:lang w:eastAsia="ar-SA"/>
        </w:rPr>
        <w:t xml:space="preserve"> № 2300-1 «О защите прав потребителей». В случае невозможности осуществления ремонта Изделий в период гарантийного срока эксплуатации Исполнитель должен осуществить замену такого Изделия в течение 15 </w:t>
      </w:r>
      <w:r>
        <w:rPr>
          <w:lang w:eastAsia="ar-SA"/>
        </w:rPr>
        <w:t xml:space="preserve">(пятнадцати) </w:t>
      </w:r>
      <w:r w:rsidRPr="003027F2">
        <w:rPr>
          <w:lang w:eastAsia="ar-SA"/>
        </w:rPr>
        <w:t>рабочих дней.</w:t>
      </w:r>
    </w:p>
    <w:p w:rsidR="008C37DE" w:rsidRPr="003027F2" w:rsidRDefault="008C37DE" w:rsidP="008C37DE">
      <w:pPr>
        <w:suppressAutoHyphens/>
        <w:autoSpaceDE w:val="0"/>
        <w:jc w:val="both"/>
        <w:rPr>
          <w:lang w:eastAsia="ar-SA"/>
        </w:rPr>
      </w:pPr>
      <w:r w:rsidRPr="00DF3C4F">
        <w:rPr>
          <w:lang w:eastAsia="ar-SA"/>
        </w:rPr>
        <w:t xml:space="preserve">1.5. </w:t>
      </w:r>
      <w:r w:rsidRPr="003027F2">
        <w:rPr>
          <w:lang w:eastAsia="ar-SA"/>
        </w:rPr>
        <w:t>Осуществлять прием Получателей по всем вопросам выдачи Изделий, выполнения гарантийного ремонта Изделий по месту нахождения пункта приема. Для приёма Получателей или их представителей на момент заключения государственного контракта, на территории Санкт-Петербурга должен быть организован пункт (пункты) приёма, работающий не менее 5 (пяти) дней в неделю, не менее 40 (с</w:t>
      </w:r>
      <w:r>
        <w:rPr>
          <w:lang w:eastAsia="ar-SA"/>
        </w:rPr>
        <w:t>орока) часов в неделю, при этом</w:t>
      </w:r>
      <w:r w:rsidRPr="003027F2">
        <w:rPr>
          <w:lang w:eastAsia="ar-SA"/>
        </w:rPr>
        <w:t xml:space="preserve"> </w:t>
      </w:r>
      <w:r w:rsidRPr="00DF3C4F">
        <w:rPr>
          <w:lang w:eastAsia="ar-SA"/>
        </w:rPr>
        <w:t>время работы пункта (пунктов) д</w:t>
      </w:r>
      <w:r w:rsidRPr="003027F2">
        <w:rPr>
          <w:lang w:eastAsia="ar-SA"/>
        </w:rPr>
        <w:t>олжно попадать в интервал с 08:00 до 22:00. Пункт должен иметь туалетную комнату со свободным доступом туда Получателей. Максимальное время ожидания Получателей в очереди не должно превышать 30 минут. Количество пунктов приема – не менее 1 (одного).</w:t>
      </w:r>
    </w:p>
    <w:p w:rsidR="008C37DE" w:rsidRPr="003027F2" w:rsidRDefault="008C37DE" w:rsidP="008C37DE">
      <w:pPr>
        <w:suppressAutoHyphens/>
        <w:autoSpaceDE w:val="0"/>
        <w:jc w:val="both"/>
        <w:rPr>
          <w:lang w:eastAsia="ar-SA"/>
        </w:rPr>
      </w:pPr>
      <w:r w:rsidRPr="003027F2">
        <w:rPr>
          <w:lang w:eastAsia="ar-SA"/>
        </w:rPr>
        <w:lastRenderedPageBreak/>
        <w:t>Давать справки По</w:t>
      </w:r>
      <w:r w:rsidRPr="00DF3C4F">
        <w:rPr>
          <w:lang w:eastAsia="ar-SA"/>
        </w:rPr>
        <w:t>лучателям по вопросам, связанным</w:t>
      </w:r>
      <w:r w:rsidRPr="003027F2">
        <w:rPr>
          <w:lang w:eastAsia="ar-SA"/>
        </w:rPr>
        <w:t xml:space="preserve"> с получением Изделий, в часы работы пункта. 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Адрес, график работы пункта и телефон должны быть указаны в приложении к государственному контракту.</w:t>
      </w:r>
    </w:p>
    <w:p w:rsidR="008C37DE" w:rsidRPr="003027F2" w:rsidRDefault="008C37DE" w:rsidP="008C37DE">
      <w:pPr>
        <w:suppressAutoHyphens/>
        <w:jc w:val="both"/>
        <w:rPr>
          <w:lang w:eastAsia="ar-SA"/>
        </w:rPr>
      </w:pPr>
      <w:r w:rsidRPr="003027F2">
        <w:rPr>
          <w:lang w:eastAsia="ar-SA"/>
        </w:rPr>
        <w:t>1.6.Постав</w:t>
      </w:r>
      <w:r w:rsidRPr="00DF3C4F">
        <w:rPr>
          <w:lang w:eastAsia="ar-SA"/>
        </w:rPr>
        <w:t xml:space="preserve">ляемые Изделия должны отвечать </w:t>
      </w:r>
      <w:r w:rsidRPr="003027F2">
        <w:rPr>
          <w:lang w:eastAsia="ar-SA"/>
        </w:rPr>
        <w:t>следующим требованиям:</w:t>
      </w:r>
    </w:p>
    <w:p w:rsidR="008C37DE" w:rsidRPr="003027F2" w:rsidRDefault="008C37DE" w:rsidP="008C37DE">
      <w:pPr>
        <w:suppressAutoHyphens/>
        <w:autoSpaceDE w:val="0"/>
        <w:jc w:val="both"/>
        <w:rPr>
          <w:lang w:eastAsia="ar-SA"/>
        </w:rPr>
      </w:pPr>
      <w:r w:rsidRPr="003027F2">
        <w:rPr>
          <w:lang w:eastAsia="ar-SA"/>
        </w:rPr>
        <w:t>1.6.1.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8C37DE" w:rsidRPr="003027F2" w:rsidRDefault="008C37DE" w:rsidP="008C37DE">
      <w:pPr>
        <w:widowControl w:val="0"/>
        <w:suppressAutoHyphens/>
        <w:jc w:val="both"/>
        <w:rPr>
          <w:lang w:eastAsia="ar-SA"/>
        </w:rPr>
      </w:pPr>
      <w:r w:rsidRPr="003027F2">
        <w:rPr>
          <w:lang w:eastAsia="ar-SA"/>
        </w:rPr>
        <w:t>1.6.2. Материалы, применяемые для изготовления Изделий</w:t>
      </w:r>
      <w:r w:rsidRPr="00DF3C4F">
        <w:rPr>
          <w:lang w:eastAsia="ar-SA"/>
        </w:rPr>
        <w:t>,</w:t>
      </w:r>
      <w:r w:rsidRPr="003027F2">
        <w:rPr>
          <w:lang w:eastAsia="ar-SA"/>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8C37DE" w:rsidRPr="003027F2" w:rsidRDefault="008C37DE" w:rsidP="008C37DE">
      <w:pPr>
        <w:widowControl w:val="0"/>
        <w:suppressAutoHyphens/>
        <w:jc w:val="both"/>
        <w:rPr>
          <w:lang w:eastAsia="ar-SA"/>
        </w:rPr>
      </w:pPr>
      <w:r w:rsidRPr="003027F2">
        <w:rPr>
          <w:lang w:eastAsia="ar-SA"/>
        </w:rPr>
        <w:t xml:space="preserve">Качество изготавливаемых Изделий должно соответствовать следующим государственным стандартам (ГОСТ), действующим на территории Российской Федерации: </w:t>
      </w:r>
    </w:p>
    <w:p w:rsidR="008C37DE" w:rsidRPr="003027F2" w:rsidRDefault="008C37DE" w:rsidP="008C37DE">
      <w:pPr>
        <w:widowControl w:val="0"/>
        <w:suppressAutoHyphens/>
        <w:jc w:val="both"/>
        <w:rPr>
          <w:lang w:eastAsia="ar-SA"/>
        </w:rPr>
      </w:pPr>
      <w:r w:rsidRPr="003027F2">
        <w:rPr>
          <w:lang w:eastAsia="ar-SA"/>
        </w:rPr>
        <w:t>ГОСТ Р 22523-2007 «Протезы конечностей и ортезы наружные»,</w:t>
      </w:r>
    </w:p>
    <w:p w:rsidR="008C37DE" w:rsidRPr="003027F2" w:rsidRDefault="008C37DE" w:rsidP="008C37DE">
      <w:pPr>
        <w:widowControl w:val="0"/>
        <w:suppressAutoHyphens/>
        <w:jc w:val="both"/>
        <w:rPr>
          <w:lang w:eastAsia="ar-SA"/>
        </w:rPr>
      </w:pPr>
      <w:r w:rsidRPr="003027F2">
        <w:rPr>
          <w:lang w:eastAsia="ar-SA"/>
        </w:rPr>
        <w:t>ГОСТ Р 51191-2007 «Узлы протезов нижних конечностей».</w:t>
      </w:r>
    </w:p>
    <w:p w:rsidR="008C37DE" w:rsidRPr="003027F2" w:rsidRDefault="008C37DE" w:rsidP="008C37DE">
      <w:pPr>
        <w:suppressAutoHyphens/>
        <w:jc w:val="both"/>
        <w:rPr>
          <w:lang w:eastAsia="ar-SA"/>
        </w:rPr>
      </w:pPr>
      <w:r w:rsidRPr="003027F2">
        <w:rPr>
          <w:lang w:eastAsia="ar-SA"/>
        </w:rPr>
        <w:t>1.6.3. Изделия должны быть в упаковке, защищающей от повреждений и воздействия внешней среды.</w:t>
      </w:r>
    </w:p>
    <w:p w:rsidR="008C37DE" w:rsidRPr="00024713" w:rsidRDefault="008C37DE" w:rsidP="008C37DE">
      <w:pPr>
        <w:widowControl w:val="0"/>
        <w:jc w:val="both"/>
      </w:pPr>
      <w:r w:rsidRPr="00DF3C4F">
        <w:rPr>
          <w:lang w:eastAsia="ar-SA"/>
        </w:rPr>
        <w:t>1.6.4. Изделия должны быть новыми, свободными от прав третьих лиц</w:t>
      </w:r>
      <w:r w:rsidRPr="00024713">
        <w:t>.</w:t>
      </w:r>
    </w:p>
    <w:p w:rsidR="008C37DE" w:rsidRDefault="008C37DE" w:rsidP="008C37DE">
      <w:pPr>
        <w:jc w:val="both"/>
      </w:pPr>
      <w:r>
        <w:t>1.6</w:t>
      </w:r>
      <w:r w:rsidRPr="00024713">
        <w:t>.</w:t>
      </w:r>
      <w:r>
        <w:t>5</w:t>
      </w:r>
      <w:r w:rsidRPr="00024713">
        <w:t xml:space="preserve"> </w:t>
      </w:r>
      <w:r w:rsidRPr="00024713">
        <w:rPr>
          <w:lang w:eastAsia="ar-SA"/>
        </w:rPr>
        <w:t xml:space="preserve">Изделия должны отвечать следующим </w:t>
      </w:r>
      <w:proofErr w:type="gramStart"/>
      <w:r w:rsidRPr="00024713">
        <w:rPr>
          <w:lang w:eastAsia="ar-SA"/>
        </w:rPr>
        <w:t>требованиям</w:t>
      </w:r>
      <w:r w:rsidRPr="00024713">
        <w:rPr>
          <w:vertAlign w:val="superscript"/>
        </w:rPr>
        <w:t xml:space="preserve"> </w:t>
      </w:r>
      <w:r w:rsidRPr="00024713">
        <w:rPr>
          <w:vertAlign w:val="superscript"/>
        </w:rPr>
        <w:footnoteReference w:id="1"/>
      </w:r>
      <w:r w:rsidRPr="00024713">
        <w:t>:</w:t>
      </w:r>
      <w:proofErr w:type="gramEnd"/>
    </w:p>
    <w:p w:rsidR="008C37DE" w:rsidRDefault="008C37DE" w:rsidP="008C37DE">
      <w:pPr>
        <w:jc w:val="both"/>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2381"/>
        <w:gridCol w:w="1588"/>
        <w:gridCol w:w="1559"/>
        <w:gridCol w:w="1417"/>
        <w:gridCol w:w="850"/>
      </w:tblGrid>
      <w:tr w:rsidR="008C37DE" w:rsidRPr="00024713" w:rsidTr="005768BF">
        <w:tc>
          <w:tcPr>
            <w:tcW w:w="709" w:type="dxa"/>
          </w:tcPr>
          <w:p w:rsidR="008C37DE" w:rsidRPr="00024713" w:rsidRDefault="008C37DE" w:rsidP="005768BF">
            <w:pPr>
              <w:widowControl w:val="0"/>
              <w:suppressAutoHyphens/>
              <w:snapToGrid w:val="0"/>
              <w:jc w:val="center"/>
            </w:pPr>
            <w:r w:rsidRPr="00024713">
              <w:t>№</w:t>
            </w:r>
          </w:p>
          <w:p w:rsidR="008C37DE" w:rsidRPr="00024713" w:rsidRDefault="008C37DE" w:rsidP="005768BF">
            <w:pPr>
              <w:widowControl w:val="0"/>
              <w:suppressAutoHyphens/>
              <w:snapToGrid w:val="0"/>
              <w:jc w:val="center"/>
            </w:pPr>
            <w:r w:rsidRPr="00024713">
              <w:t>п/п</w:t>
            </w:r>
          </w:p>
        </w:tc>
        <w:tc>
          <w:tcPr>
            <w:tcW w:w="1560" w:type="dxa"/>
          </w:tcPr>
          <w:p w:rsidR="008C37DE" w:rsidRPr="00024713" w:rsidRDefault="008C37DE" w:rsidP="005768BF">
            <w:pPr>
              <w:widowControl w:val="0"/>
              <w:suppressAutoHyphens/>
              <w:jc w:val="center"/>
            </w:pPr>
            <w:r w:rsidRPr="00024713">
              <w:t>Наименование Изделия</w:t>
            </w:r>
          </w:p>
        </w:tc>
        <w:tc>
          <w:tcPr>
            <w:tcW w:w="2381" w:type="dxa"/>
          </w:tcPr>
          <w:p w:rsidR="008C37DE" w:rsidRPr="00024713" w:rsidRDefault="008C37DE" w:rsidP="005768BF">
            <w:pPr>
              <w:widowControl w:val="0"/>
              <w:suppressAutoHyphens/>
              <w:snapToGrid w:val="0"/>
              <w:jc w:val="center"/>
            </w:pPr>
            <w:r w:rsidRPr="00024713">
              <w:t>Характеристика Изделия</w:t>
            </w:r>
          </w:p>
        </w:tc>
        <w:tc>
          <w:tcPr>
            <w:tcW w:w="1588" w:type="dxa"/>
          </w:tcPr>
          <w:p w:rsidR="008C37DE" w:rsidRPr="00024713" w:rsidRDefault="008C37DE" w:rsidP="005768BF">
            <w:pPr>
              <w:widowControl w:val="0"/>
              <w:suppressAutoHyphens/>
              <w:snapToGrid w:val="0"/>
              <w:jc w:val="center"/>
            </w:pPr>
            <w:r w:rsidRPr="00024713">
              <w:t>Наименование используемого товара</w:t>
            </w:r>
          </w:p>
        </w:tc>
        <w:tc>
          <w:tcPr>
            <w:tcW w:w="1559" w:type="dxa"/>
          </w:tcPr>
          <w:p w:rsidR="008C37DE" w:rsidRPr="00024713" w:rsidRDefault="008C37DE" w:rsidP="005768BF">
            <w:pPr>
              <w:widowControl w:val="0"/>
              <w:suppressAutoHyphens/>
              <w:snapToGrid w:val="0"/>
              <w:jc w:val="center"/>
            </w:pPr>
            <w:r w:rsidRPr="00024713">
              <w:t xml:space="preserve">Показатель </w:t>
            </w:r>
            <w:r w:rsidRPr="00024713">
              <w:rPr>
                <w:bCs/>
              </w:rPr>
              <w:t>характеристики используемого товара</w:t>
            </w:r>
          </w:p>
        </w:tc>
        <w:tc>
          <w:tcPr>
            <w:tcW w:w="1417" w:type="dxa"/>
          </w:tcPr>
          <w:p w:rsidR="008C37DE" w:rsidRPr="00024713" w:rsidRDefault="008C37DE" w:rsidP="005768BF">
            <w:pPr>
              <w:widowControl w:val="0"/>
              <w:suppressAutoHyphens/>
              <w:snapToGrid w:val="0"/>
              <w:jc w:val="center"/>
            </w:pPr>
            <w:r w:rsidRPr="00024713">
              <w:t>ГОСТ, технический регламент/обоснование использования (в том числе его характеристика)</w:t>
            </w:r>
          </w:p>
        </w:tc>
        <w:tc>
          <w:tcPr>
            <w:tcW w:w="850" w:type="dxa"/>
          </w:tcPr>
          <w:p w:rsidR="008C37DE" w:rsidRPr="00024713" w:rsidRDefault="008C37DE" w:rsidP="005768BF">
            <w:pPr>
              <w:widowControl w:val="0"/>
              <w:suppressAutoHyphens/>
              <w:snapToGrid w:val="0"/>
              <w:jc w:val="center"/>
            </w:pPr>
            <w:r w:rsidRPr="00024713">
              <w:t>Кол-во</w:t>
            </w:r>
          </w:p>
          <w:p w:rsidR="008C37DE" w:rsidRPr="00024713" w:rsidRDefault="008C37DE" w:rsidP="005768BF">
            <w:pPr>
              <w:widowControl w:val="0"/>
              <w:suppressAutoHyphens/>
              <w:jc w:val="center"/>
            </w:pPr>
            <w:r w:rsidRPr="00024713">
              <w:t>Изделий</w:t>
            </w:r>
          </w:p>
          <w:p w:rsidR="008C37DE" w:rsidRPr="00024713" w:rsidRDefault="008C37DE" w:rsidP="005768BF">
            <w:pPr>
              <w:widowControl w:val="0"/>
              <w:suppressAutoHyphens/>
              <w:jc w:val="center"/>
            </w:pPr>
            <w:r w:rsidRPr="00024713">
              <w:t>(шт.)</w:t>
            </w:r>
          </w:p>
        </w:tc>
      </w:tr>
      <w:tr w:rsidR="008C37DE" w:rsidRPr="00024713" w:rsidTr="005768BF">
        <w:tc>
          <w:tcPr>
            <w:tcW w:w="709"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1</w:t>
            </w:r>
          </w:p>
        </w:tc>
        <w:tc>
          <w:tcPr>
            <w:tcW w:w="1560" w:type="dxa"/>
            <w:vMerge w:val="restart"/>
            <w:shd w:val="clear" w:color="auto" w:fill="auto"/>
          </w:tcPr>
          <w:p w:rsidR="008C37DE" w:rsidRPr="00024713" w:rsidRDefault="008C37DE" w:rsidP="005768BF">
            <w:pPr>
              <w:jc w:val="both"/>
            </w:pPr>
            <w:r w:rsidRPr="00024713">
              <w:rPr>
                <w:bCs/>
              </w:rPr>
              <w:t>Протез голени модульный</w:t>
            </w:r>
            <w:r>
              <w:rPr>
                <w:bCs/>
              </w:rPr>
              <w:t xml:space="preserve">, </w:t>
            </w:r>
            <w:r w:rsidRPr="00024713">
              <w:rPr>
                <w:bCs/>
              </w:rPr>
              <w:t>в том числе при недоразвитии</w:t>
            </w:r>
          </w:p>
        </w:tc>
        <w:tc>
          <w:tcPr>
            <w:tcW w:w="2381" w:type="dxa"/>
            <w:vMerge w:val="restart"/>
            <w:shd w:val="clear" w:color="auto" w:fill="auto"/>
          </w:tcPr>
          <w:p w:rsidR="008C37DE" w:rsidRPr="00024713" w:rsidRDefault="008C37DE" w:rsidP="005768BF">
            <w:pPr>
              <w:keepNext/>
              <w:tabs>
                <w:tab w:val="left" w:pos="0"/>
              </w:tabs>
              <w:suppressAutoHyphens/>
              <w:snapToGrid w:val="0"/>
              <w:spacing w:line="276" w:lineRule="auto"/>
              <w:jc w:val="both"/>
              <w:rPr>
                <w:rFonts w:eastAsia="Calibri"/>
              </w:rPr>
            </w:pPr>
            <w:r w:rsidRPr="00024713">
              <w:rPr>
                <w:rFonts w:eastAsia="Calibri"/>
              </w:rPr>
              <w:t xml:space="preserve">Протез голени модульного типа для получателей среднего уровня активности, постоянный. Пробная приемная гильза, постоянная </w:t>
            </w:r>
            <w:r w:rsidRPr="00024713">
              <w:rPr>
                <w:rFonts w:eastAsia="Calibri"/>
              </w:rPr>
              <w:lastRenderedPageBreak/>
              <w:t xml:space="preserve">приемная гильза изготовлены по слепку. Вкладной элемент: чехол среднего уровня стабилизации. Стопа со средним уровнем энергосбережения. Крепление протеза вакуумное с герметизирующим коленным бандажом. Изделие должно иметь формообразующую часть облицовки с косметическим покрытием – чулками ортопедическими. </w:t>
            </w:r>
          </w:p>
        </w:tc>
        <w:tc>
          <w:tcPr>
            <w:tcW w:w="1588" w:type="dxa"/>
            <w:shd w:val="clear" w:color="auto" w:fill="auto"/>
          </w:tcPr>
          <w:p w:rsidR="008C37DE" w:rsidRPr="00024713" w:rsidRDefault="008C37DE" w:rsidP="005768BF">
            <w:pPr>
              <w:suppressAutoHyphens/>
              <w:snapToGrid w:val="0"/>
              <w:spacing w:line="276" w:lineRule="auto"/>
              <w:jc w:val="both"/>
              <w:rPr>
                <w:rFonts w:eastAsia="Calibri"/>
                <w:bCs/>
              </w:rPr>
            </w:pPr>
            <w:r w:rsidRPr="00024713">
              <w:rPr>
                <w:rFonts w:eastAsia="Calibri"/>
                <w:bCs/>
              </w:rPr>
              <w:lastRenderedPageBreak/>
              <w:t>Материал пробной приемной гильзы – листовой термопласт</w:t>
            </w:r>
          </w:p>
        </w:tc>
        <w:tc>
          <w:tcPr>
            <w:tcW w:w="1559" w:type="dxa"/>
            <w:shd w:val="clear" w:color="auto" w:fill="auto"/>
          </w:tcPr>
          <w:p w:rsidR="008C37DE" w:rsidRPr="00024713" w:rsidRDefault="008C37DE" w:rsidP="005768BF">
            <w:pPr>
              <w:suppressAutoHyphens/>
              <w:snapToGrid w:val="0"/>
              <w:spacing w:line="276" w:lineRule="auto"/>
              <w:jc w:val="both"/>
              <w:rPr>
                <w:rFonts w:eastAsia="Calibri"/>
                <w:bCs/>
              </w:rPr>
            </w:pPr>
            <w:r w:rsidRPr="00024713">
              <w:rPr>
                <w:rFonts w:eastAsia="Calibri"/>
                <w:bCs/>
              </w:rPr>
              <w:t>Наличие</w:t>
            </w:r>
          </w:p>
        </w:tc>
        <w:tc>
          <w:tcPr>
            <w:tcW w:w="1417" w:type="dxa"/>
            <w:vMerge w:val="restart"/>
            <w:shd w:val="clear" w:color="auto" w:fill="auto"/>
          </w:tcPr>
          <w:p w:rsidR="008C37DE" w:rsidRPr="00024713" w:rsidRDefault="008C37DE" w:rsidP="005768BF">
            <w:pPr>
              <w:tabs>
                <w:tab w:val="left" w:pos="0"/>
              </w:tabs>
              <w:suppressAutoHyphens/>
              <w:snapToGrid w:val="0"/>
              <w:jc w:val="both"/>
              <w:rPr>
                <w:lang w:eastAsia="ar-SA"/>
              </w:rPr>
            </w:pPr>
            <w:r>
              <w:rPr>
                <w:lang w:eastAsia="ar-SA"/>
              </w:rPr>
              <w:t>Согласно рекомендациям Программы реабилитации пострадавших (далее-</w:t>
            </w:r>
            <w:r w:rsidRPr="00024713">
              <w:rPr>
                <w:lang w:eastAsia="ar-SA"/>
              </w:rPr>
              <w:lastRenderedPageBreak/>
              <w:t>ПРП</w:t>
            </w:r>
            <w:r>
              <w:rPr>
                <w:lang w:eastAsia="ar-SA"/>
              </w:rPr>
              <w:t>)</w:t>
            </w:r>
            <w:r w:rsidRPr="00024713">
              <w:rPr>
                <w:lang w:eastAsia="ar-SA"/>
              </w:rPr>
              <w:t xml:space="preserve">, заключения </w:t>
            </w:r>
            <w:r>
              <w:rPr>
                <w:lang w:eastAsia="ar-SA"/>
              </w:rPr>
              <w:t>медико-технической комиссии (далее-</w:t>
            </w:r>
            <w:r w:rsidRPr="00024713">
              <w:rPr>
                <w:lang w:eastAsia="ar-SA"/>
              </w:rPr>
              <w:t>МТК</w:t>
            </w:r>
            <w:r>
              <w:rPr>
                <w:lang w:eastAsia="ar-SA"/>
              </w:rPr>
              <w:t>)</w:t>
            </w:r>
          </w:p>
        </w:tc>
        <w:tc>
          <w:tcPr>
            <w:tcW w:w="850"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lastRenderedPageBreak/>
              <w:t>1</w:t>
            </w: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jc w:val="both"/>
              <w:rPr>
                <w:rFonts w:eastAsia="Calibri"/>
              </w:rPr>
            </w:pPr>
          </w:p>
        </w:tc>
        <w:tc>
          <w:tcPr>
            <w:tcW w:w="2381" w:type="dxa"/>
            <w:vMerge/>
            <w:shd w:val="clear" w:color="auto" w:fill="auto"/>
          </w:tcPr>
          <w:p w:rsidR="008C37DE" w:rsidRPr="00024713" w:rsidRDefault="008C37DE" w:rsidP="005768BF">
            <w:pPr>
              <w:jc w:val="both"/>
              <w:rPr>
                <w:rFonts w:eastAsia="Calibri"/>
              </w:rPr>
            </w:pPr>
          </w:p>
        </w:tc>
        <w:tc>
          <w:tcPr>
            <w:tcW w:w="1588"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 xml:space="preserve">Материалы постоянной </w:t>
            </w:r>
            <w:r w:rsidRPr="00024713">
              <w:rPr>
                <w:rFonts w:eastAsia="Calibri"/>
                <w:bCs/>
              </w:rPr>
              <w:lastRenderedPageBreak/>
              <w:t>приемной гильзы – слоистый пластик на основе связующих смол</w:t>
            </w:r>
          </w:p>
        </w:tc>
        <w:tc>
          <w:tcPr>
            <w:tcW w:w="1559"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lastRenderedPageBreak/>
              <w:t>Наличие</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jc w:val="both"/>
              <w:rPr>
                <w:rFonts w:eastAsia="Calibri"/>
              </w:rPr>
            </w:pPr>
          </w:p>
        </w:tc>
        <w:tc>
          <w:tcPr>
            <w:tcW w:w="2381" w:type="dxa"/>
            <w:vMerge/>
            <w:shd w:val="clear" w:color="auto" w:fill="auto"/>
          </w:tcPr>
          <w:p w:rsidR="008C37DE" w:rsidRPr="00024713" w:rsidRDefault="008C37DE" w:rsidP="005768BF">
            <w:pPr>
              <w:jc w:val="both"/>
              <w:rPr>
                <w:rFonts w:eastAsia="Calibri"/>
              </w:rPr>
            </w:pPr>
          </w:p>
        </w:tc>
        <w:tc>
          <w:tcPr>
            <w:tcW w:w="1588"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Материал вкладного элемента – полимер гелевый</w:t>
            </w:r>
          </w:p>
        </w:tc>
        <w:tc>
          <w:tcPr>
            <w:tcW w:w="1559"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Наличие</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jc w:val="both"/>
              <w:rPr>
                <w:rFonts w:eastAsia="Calibri"/>
              </w:rPr>
            </w:pPr>
          </w:p>
        </w:tc>
        <w:tc>
          <w:tcPr>
            <w:tcW w:w="2381" w:type="dxa"/>
            <w:vMerge/>
            <w:shd w:val="clear" w:color="auto" w:fill="auto"/>
          </w:tcPr>
          <w:p w:rsidR="008C37DE" w:rsidRPr="00024713" w:rsidRDefault="008C37DE" w:rsidP="005768BF">
            <w:pPr>
              <w:jc w:val="both"/>
              <w:rPr>
                <w:rFonts w:eastAsia="Calibri"/>
              </w:rPr>
            </w:pPr>
          </w:p>
        </w:tc>
        <w:tc>
          <w:tcPr>
            <w:tcW w:w="1588"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 xml:space="preserve">Материал стопы </w:t>
            </w:r>
          </w:p>
        </w:tc>
        <w:tc>
          <w:tcPr>
            <w:tcW w:w="1559"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E1161E">
              <w:rPr>
                <w:rFonts w:eastAsia="Calibri"/>
                <w:bCs/>
              </w:rPr>
              <w:t>Полиуретан</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jc w:val="both"/>
              <w:rPr>
                <w:rFonts w:eastAsia="Calibri"/>
              </w:rPr>
            </w:pPr>
          </w:p>
        </w:tc>
        <w:tc>
          <w:tcPr>
            <w:tcW w:w="2381" w:type="dxa"/>
            <w:vMerge/>
            <w:shd w:val="clear" w:color="auto" w:fill="auto"/>
          </w:tcPr>
          <w:p w:rsidR="008C37DE" w:rsidRPr="00024713" w:rsidRDefault="008C37DE" w:rsidP="005768BF">
            <w:pPr>
              <w:jc w:val="both"/>
              <w:rPr>
                <w:rFonts w:eastAsia="Calibri"/>
              </w:rPr>
            </w:pPr>
          </w:p>
        </w:tc>
        <w:tc>
          <w:tcPr>
            <w:tcW w:w="1588"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Материал облицовки</w:t>
            </w:r>
          </w:p>
        </w:tc>
        <w:tc>
          <w:tcPr>
            <w:tcW w:w="1559"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Полиуретан</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jc w:val="both"/>
              <w:rPr>
                <w:rFonts w:eastAsia="Calibri"/>
              </w:rPr>
            </w:pPr>
          </w:p>
        </w:tc>
        <w:tc>
          <w:tcPr>
            <w:tcW w:w="2381" w:type="dxa"/>
            <w:vMerge/>
            <w:shd w:val="clear" w:color="auto" w:fill="auto"/>
          </w:tcPr>
          <w:p w:rsidR="008C37DE" w:rsidRPr="00024713" w:rsidRDefault="008C37DE" w:rsidP="005768BF">
            <w:pPr>
              <w:jc w:val="both"/>
              <w:rPr>
                <w:rFonts w:eastAsia="Calibri"/>
              </w:rPr>
            </w:pPr>
          </w:p>
        </w:tc>
        <w:tc>
          <w:tcPr>
            <w:tcW w:w="1588"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Материал чулок</w:t>
            </w:r>
          </w:p>
        </w:tc>
        <w:tc>
          <w:tcPr>
            <w:tcW w:w="1559" w:type="dxa"/>
            <w:shd w:val="clear" w:color="auto" w:fill="auto"/>
          </w:tcPr>
          <w:p w:rsidR="008C37DE" w:rsidRPr="00024713" w:rsidRDefault="008C37DE" w:rsidP="005768BF">
            <w:pPr>
              <w:tabs>
                <w:tab w:val="left" w:pos="-108"/>
              </w:tabs>
              <w:suppressAutoHyphens/>
              <w:spacing w:line="276" w:lineRule="auto"/>
              <w:jc w:val="both"/>
              <w:rPr>
                <w:rFonts w:eastAsia="Calibri"/>
                <w:bCs/>
              </w:rPr>
            </w:pPr>
            <w:r w:rsidRPr="00024713">
              <w:rPr>
                <w:rFonts w:eastAsia="Calibri"/>
                <w:bCs/>
              </w:rPr>
              <w:t>Полиамид</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jc w:val="both"/>
              <w:rPr>
                <w:rFonts w:eastAsia="Calibri"/>
              </w:rPr>
            </w:pPr>
          </w:p>
        </w:tc>
        <w:tc>
          <w:tcPr>
            <w:tcW w:w="2381" w:type="dxa"/>
            <w:vMerge/>
            <w:shd w:val="clear" w:color="auto" w:fill="auto"/>
          </w:tcPr>
          <w:p w:rsidR="008C37DE" w:rsidRPr="00024713" w:rsidRDefault="008C37DE" w:rsidP="005768BF">
            <w:pPr>
              <w:jc w:val="both"/>
              <w:rPr>
                <w:rFonts w:eastAsia="Calibri"/>
              </w:rPr>
            </w:pPr>
          </w:p>
        </w:tc>
        <w:tc>
          <w:tcPr>
            <w:tcW w:w="1588" w:type="dxa"/>
            <w:shd w:val="clear" w:color="auto" w:fill="auto"/>
          </w:tcPr>
          <w:p w:rsidR="008C37DE" w:rsidRPr="00024713" w:rsidRDefault="008C37DE" w:rsidP="005768BF">
            <w:pPr>
              <w:widowControl w:val="0"/>
              <w:suppressAutoHyphens/>
              <w:spacing w:line="276" w:lineRule="auto"/>
              <w:jc w:val="both"/>
              <w:rPr>
                <w:rFonts w:eastAsia="Calibri"/>
              </w:rPr>
            </w:pPr>
            <w:r w:rsidRPr="00024713">
              <w:rPr>
                <w:rFonts w:eastAsia="Calibri"/>
              </w:rPr>
              <w:t>Максимально допустимая нагрузка на регулировочно-соединительные устройства</w:t>
            </w:r>
          </w:p>
        </w:tc>
        <w:tc>
          <w:tcPr>
            <w:tcW w:w="1559" w:type="dxa"/>
            <w:shd w:val="clear" w:color="auto" w:fill="auto"/>
          </w:tcPr>
          <w:p w:rsidR="008C37DE" w:rsidRPr="00B52518" w:rsidRDefault="008C37DE" w:rsidP="005768BF">
            <w:pPr>
              <w:widowControl w:val="0"/>
              <w:tabs>
                <w:tab w:val="left" w:pos="9180"/>
              </w:tabs>
              <w:suppressAutoHyphens/>
              <w:jc w:val="both"/>
              <w:rPr>
                <w:rFonts w:eastAsia="Calibri"/>
              </w:rPr>
            </w:pPr>
            <w:r w:rsidRPr="00B52518">
              <w:rPr>
                <w:rFonts w:eastAsia="Calibri"/>
              </w:rPr>
              <w:t xml:space="preserve">Не менее </w:t>
            </w:r>
            <w:smartTag w:uri="urn:schemas-microsoft-com:office:smarttags" w:element="metricconverter">
              <w:smartTagPr>
                <w:attr w:name="ProductID" w:val="100 кг"/>
              </w:smartTagPr>
              <w:r w:rsidRPr="00B52518">
                <w:rPr>
                  <w:rFonts w:eastAsia="Calibri"/>
                </w:rPr>
                <w:t>100 кг</w:t>
              </w:r>
            </w:smartTag>
          </w:p>
          <w:p w:rsidR="008C37DE" w:rsidRPr="00024713" w:rsidRDefault="008C37DE" w:rsidP="005768BF">
            <w:pPr>
              <w:widowControl w:val="0"/>
              <w:suppressAutoHyphens/>
              <w:spacing w:line="276" w:lineRule="auto"/>
              <w:jc w:val="both"/>
              <w:rPr>
                <w:rFonts w:eastAsia="Calibri"/>
              </w:rPr>
            </w:pPr>
            <w:r w:rsidRPr="00B52518">
              <w:rPr>
                <w:rFonts w:eastAsia="Calibri"/>
              </w:rPr>
              <w:t>(включительно)</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2</w:t>
            </w:r>
          </w:p>
        </w:tc>
        <w:tc>
          <w:tcPr>
            <w:tcW w:w="1560" w:type="dxa"/>
            <w:vMerge w:val="restart"/>
            <w:shd w:val="clear" w:color="auto" w:fill="auto"/>
          </w:tcPr>
          <w:p w:rsidR="008C37DE" w:rsidRPr="00024713" w:rsidRDefault="008C37DE" w:rsidP="005768BF">
            <w:pPr>
              <w:jc w:val="both"/>
            </w:pPr>
            <w:r w:rsidRPr="00024713">
              <w:rPr>
                <w:bCs/>
              </w:rPr>
              <w:t xml:space="preserve">Протез голени для купания </w:t>
            </w:r>
          </w:p>
        </w:tc>
        <w:tc>
          <w:tcPr>
            <w:tcW w:w="2381" w:type="dxa"/>
            <w:vMerge w:val="restart"/>
            <w:shd w:val="clear" w:color="auto" w:fill="auto"/>
          </w:tcPr>
          <w:p w:rsidR="008C37DE" w:rsidRPr="00024713" w:rsidRDefault="008C37DE" w:rsidP="005768BF">
            <w:pPr>
              <w:keepNext/>
              <w:tabs>
                <w:tab w:val="left" w:pos="0"/>
              </w:tabs>
              <w:suppressAutoHyphens/>
              <w:snapToGrid w:val="0"/>
              <w:jc w:val="both"/>
              <w:rPr>
                <w:lang w:eastAsia="ar-SA"/>
              </w:rPr>
            </w:pPr>
            <w:r w:rsidRPr="00024713">
              <w:rPr>
                <w:lang w:eastAsia="ar-SA"/>
              </w:rPr>
              <w:t xml:space="preserve">Протез модульный, специальный. Пробная (2 шт.) и постоянная приемная гильза изготовлены по слепку. Вкладной элемент – чехол. Регулировочно-соединительные устройства влагостойкие. Стопа бесшарнирная монолитная, со специальным рифлением на подошвенной поверхности для увеличения надежности сцепления на мокрой </w:t>
            </w:r>
            <w:r w:rsidRPr="00024713">
              <w:rPr>
                <w:lang w:eastAsia="ar-SA"/>
              </w:rPr>
              <w:lastRenderedPageBreak/>
              <w:t>и скользкой поверхности с водостойким адаптером. Креплением протеза водостойкое с замком для полимерных чехлов.</w:t>
            </w:r>
          </w:p>
        </w:tc>
        <w:tc>
          <w:tcPr>
            <w:tcW w:w="1588" w:type="dxa"/>
            <w:shd w:val="clear" w:color="auto" w:fill="auto"/>
          </w:tcPr>
          <w:p w:rsidR="008C37DE" w:rsidRPr="00024713" w:rsidRDefault="008C37DE" w:rsidP="005768BF">
            <w:pPr>
              <w:suppressAutoHyphens/>
              <w:snapToGrid w:val="0"/>
              <w:jc w:val="both"/>
              <w:rPr>
                <w:bCs/>
                <w:lang w:eastAsia="ar-SA"/>
              </w:rPr>
            </w:pPr>
            <w:r w:rsidRPr="00024713">
              <w:rPr>
                <w:bCs/>
                <w:lang w:eastAsia="ar-SA"/>
              </w:rPr>
              <w:lastRenderedPageBreak/>
              <w:t>Материал пробной приемной гильзы – листовой термопласт</w:t>
            </w:r>
          </w:p>
        </w:tc>
        <w:tc>
          <w:tcPr>
            <w:tcW w:w="1559" w:type="dxa"/>
            <w:shd w:val="clear" w:color="auto" w:fill="auto"/>
          </w:tcPr>
          <w:p w:rsidR="008C37DE" w:rsidRPr="00024713" w:rsidRDefault="008C37DE" w:rsidP="005768BF">
            <w:pPr>
              <w:suppressAutoHyphens/>
              <w:snapToGrid w:val="0"/>
              <w:jc w:val="both"/>
              <w:rPr>
                <w:bCs/>
                <w:lang w:eastAsia="ar-SA"/>
              </w:rPr>
            </w:pPr>
            <w:r w:rsidRPr="00024713">
              <w:rPr>
                <w:bCs/>
                <w:lang w:eastAsia="ar-SA"/>
              </w:rPr>
              <w:t>Наличие</w:t>
            </w:r>
          </w:p>
        </w:tc>
        <w:tc>
          <w:tcPr>
            <w:tcW w:w="1417" w:type="dxa"/>
            <w:vMerge w:val="restart"/>
            <w:shd w:val="clear" w:color="auto" w:fill="auto"/>
          </w:tcPr>
          <w:p w:rsidR="008C37DE" w:rsidRPr="00024713" w:rsidRDefault="008C37DE" w:rsidP="005768BF">
            <w:pPr>
              <w:suppressAutoHyphens/>
              <w:snapToGrid w:val="0"/>
              <w:jc w:val="both"/>
              <w:rPr>
                <w:bCs/>
                <w:lang w:eastAsia="ar-SA"/>
              </w:rPr>
            </w:pPr>
            <w:r w:rsidRPr="00024713">
              <w:rPr>
                <w:lang w:eastAsia="ar-SA"/>
              </w:rPr>
              <w:t>Согласно рекомендациям ПРП, заключения МТК</w:t>
            </w:r>
          </w:p>
        </w:tc>
        <w:tc>
          <w:tcPr>
            <w:tcW w:w="850"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1</w:t>
            </w: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Материал постоянной приемной гильзы – слоистый пластик на основе связующих смол</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Наличие</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Материал чехла – гелевый полимер</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Наличие</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Материал стопы</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Полиуретан</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rPr>
          <w:trHeight w:val="2883"/>
        </w:trPr>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 xml:space="preserve">Максимально допустимая нагрузка </w:t>
            </w:r>
            <w:r w:rsidRPr="00283F15">
              <w:rPr>
                <w:bCs/>
                <w:lang w:eastAsia="ar-SA"/>
              </w:rPr>
              <w:t>на регулировочно-соединительное устройство</w:t>
            </w:r>
          </w:p>
        </w:tc>
        <w:tc>
          <w:tcPr>
            <w:tcW w:w="1559" w:type="dxa"/>
            <w:shd w:val="clear" w:color="auto" w:fill="auto"/>
          </w:tcPr>
          <w:p w:rsidR="008C37DE" w:rsidRPr="002F3FC2" w:rsidRDefault="008C37DE" w:rsidP="005768BF">
            <w:pPr>
              <w:widowControl w:val="0"/>
              <w:tabs>
                <w:tab w:val="left" w:pos="9180"/>
              </w:tabs>
              <w:suppressAutoHyphens/>
              <w:jc w:val="both"/>
              <w:rPr>
                <w:rFonts w:eastAsia="Calibri"/>
              </w:rPr>
            </w:pPr>
            <w:r w:rsidRPr="002F3FC2">
              <w:rPr>
                <w:rFonts w:eastAsia="Calibri"/>
              </w:rPr>
              <w:t xml:space="preserve">Не менее </w:t>
            </w:r>
            <w:smartTag w:uri="urn:schemas-microsoft-com:office:smarttags" w:element="metricconverter">
              <w:smartTagPr>
                <w:attr w:name="ProductID" w:val="100 кг"/>
              </w:smartTagPr>
              <w:r w:rsidRPr="002F3FC2">
                <w:rPr>
                  <w:rFonts w:eastAsia="Calibri"/>
                </w:rPr>
                <w:t>100 кг</w:t>
              </w:r>
            </w:smartTag>
          </w:p>
          <w:p w:rsidR="008C37DE" w:rsidRPr="00024713" w:rsidRDefault="008C37DE" w:rsidP="005768BF">
            <w:pPr>
              <w:tabs>
                <w:tab w:val="left" w:pos="-108"/>
              </w:tabs>
              <w:suppressAutoHyphens/>
              <w:jc w:val="both"/>
              <w:rPr>
                <w:bCs/>
                <w:lang w:eastAsia="ar-SA"/>
              </w:rPr>
            </w:pPr>
            <w:r w:rsidRPr="002F3FC2">
              <w:rPr>
                <w:rFonts w:eastAsia="Calibri"/>
              </w:rPr>
              <w:t>(включительно)</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3</w:t>
            </w:r>
          </w:p>
        </w:tc>
        <w:tc>
          <w:tcPr>
            <w:tcW w:w="1560" w:type="dxa"/>
            <w:vMerge w:val="restart"/>
            <w:shd w:val="clear" w:color="auto" w:fill="auto"/>
          </w:tcPr>
          <w:p w:rsidR="008C37DE" w:rsidRPr="00024713" w:rsidRDefault="008C37DE" w:rsidP="005768BF">
            <w:pPr>
              <w:jc w:val="both"/>
            </w:pPr>
            <w:r w:rsidRPr="00024713">
              <w:rPr>
                <w:bCs/>
              </w:rPr>
              <w:t>Протез голени немодульный, в том числе при врожденном недоразвитии</w:t>
            </w:r>
          </w:p>
        </w:tc>
        <w:tc>
          <w:tcPr>
            <w:tcW w:w="2381" w:type="dxa"/>
            <w:vMerge w:val="restart"/>
            <w:shd w:val="clear" w:color="auto" w:fill="auto"/>
          </w:tcPr>
          <w:p w:rsidR="008C37DE" w:rsidRPr="00024713" w:rsidRDefault="008C37DE" w:rsidP="005768BF">
            <w:pPr>
              <w:keepNext/>
              <w:tabs>
                <w:tab w:val="left" w:pos="0"/>
              </w:tabs>
              <w:suppressAutoHyphens/>
              <w:snapToGrid w:val="0"/>
              <w:jc w:val="both"/>
              <w:rPr>
                <w:lang w:eastAsia="ar-SA"/>
              </w:rPr>
            </w:pPr>
            <w:r w:rsidRPr="00024713">
              <w:rPr>
                <w:lang w:eastAsia="ar-SA"/>
              </w:rPr>
              <w:t>Протез голени шинно-кожаный, постоянный. Постоянная приемная гильза изготовлена по слепку. Стопа одноосная монолитная. Крепление протеза с использованием гильзы бедра.</w:t>
            </w:r>
          </w:p>
        </w:tc>
        <w:tc>
          <w:tcPr>
            <w:tcW w:w="1588" w:type="dxa"/>
            <w:shd w:val="clear" w:color="auto" w:fill="auto"/>
          </w:tcPr>
          <w:p w:rsidR="008C37DE" w:rsidRPr="00024713" w:rsidRDefault="008C37DE" w:rsidP="005768BF">
            <w:pPr>
              <w:suppressAutoHyphens/>
              <w:snapToGrid w:val="0"/>
              <w:jc w:val="both"/>
              <w:rPr>
                <w:bCs/>
                <w:lang w:eastAsia="ar-SA"/>
              </w:rPr>
            </w:pPr>
            <w:r w:rsidRPr="00024713">
              <w:rPr>
                <w:bCs/>
                <w:lang w:eastAsia="ar-SA"/>
              </w:rPr>
              <w:t>Материл постоянной гильзы - кожа</w:t>
            </w:r>
          </w:p>
        </w:tc>
        <w:tc>
          <w:tcPr>
            <w:tcW w:w="1559" w:type="dxa"/>
            <w:shd w:val="clear" w:color="auto" w:fill="auto"/>
          </w:tcPr>
          <w:p w:rsidR="008C37DE" w:rsidRPr="00024713" w:rsidRDefault="008C37DE" w:rsidP="005768BF">
            <w:pPr>
              <w:suppressAutoHyphens/>
              <w:snapToGrid w:val="0"/>
              <w:jc w:val="both"/>
              <w:rPr>
                <w:bCs/>
                <w:lang w:eastAsia="ar-SA"/>
              </w:rPr>
            </w:pPr>
            <w:r w:rsidRPr="00024713">
              <w:rPr>
                <w:bCs/>
                <w:lang w:eastAsia="ar-SA"/>
              </w:rPr>
              <w:t>Наличие</w:t>
            </w:r>
          </w:p>
        </w:tc>
        <w:tc>
          <w:tcPr>
            <w:tcW w:w="1417"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Согласно рекомендациям ПРП, заключения МТК</w:t>
            </w:r>
          </w:p>
        </w:tc>
        <w:tc>
          <w:tcPr>
            <w:tcW w:w="850"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1</w:t>
            </w: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Материал стопы</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 xml:space="preserve">Полиуретан </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Максимально допустимая нагрузка на регулировочно-соединительные устройства</w:t>
            </w:r>
          </w:p>
        </w:tc>
        <w:tc>
          <w:tcPr>
            <w:tcW w:w="1559" w:type="dxa"/>
            <w:shd w:val="clear" w:color="auto" w:fill="auto"/>
          </w:tcPr>
          <w:p w:rsidR="008C37DE" w:rsidRPr="002F3FC2" w:rsidRDefault="008C37DE" w:rsidP="005768BF">
            <w:pPr>
              <w:widowControl w:val="0"/>
              <w:tabs>
                <w:tab w:val="left" w:pos="9180"/>
              </w:tabs>
              <w:suppressAutoHyphens/>
              <w:jc w:val="both"/>
              <w:rPr>
                <w:rFonts w:eastAsia="Calibri"/>
              </w:rPr>
            </w:pPr>
            <w:r w:rsidRPr="002F3FC2">
              <w:rPr>
                <w:rFonts w:eastAsia="Calibri"/>
              </w:rPr>
              <w:t xml:space="preserve">Не менее </w:t>
            </w:r>
            <w:smartTag w:uri="urn:schemas-microsoft-com:office:smarttags" w:element="metricconverter">
              <w:smartTagPr>
                <w:attr w:name="ProductID" w:val="100 кг"/>
              </w:smartTagPr>
              <w:r w:rsidRPr="002F3FC2">
                <w:rPr>
                  <w:rFonts w:eastAsia="Calibri"/>
                </w:rPr>
                <w:t>100 кг</w:t>
              </w:r>
            </w:smartTag>
          </w:p>
          <w:p w:rsidR="008C37DE" w:rsidRPr="00024713" w:rsidRDefault="008C37DE" w:rsidP="005768BF">
            <w:pPr>
              <w:tabs>
                <w:tab w:val="left" w:pos="-108"/>
              </w:tabs>
              <w:suppressAutoHyphens/>
              <w:jc w:val="both"/>
              <w:rPr>
                <w:rFonts w:eastAsia="Arial Unicode MS"/>
                <w:lang w:eastAsia="ar-SA"/>
              </w:rPr>
            </w:pPr>
            <w:r w:rsidRPr="002F3FC2">
              <w:rPr>
                <w:rFonts w:eastAsia="Calibri"/>
              </w:rPr>
              <w:t>(включительно)</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rPr>
          <w:trHeight w:val="1549"/>
        </w:trPr>
        <w:tc>
          <w:tcPr>
            <w:tcW w:w="709"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4</w:t>
            </w:r>
          </w:p>
        </w:tc>
        <w:tc>
          <w:tcPr>
            <w:tcW w:w="1560" w:type="dxa"/>
            <w:vMerge w:val="restart"/>
            <w:shd w:val="clear" w:color="auto" w:fill="auto"/>
          </w:tcPr>
          <w:p w:rsidR="008C37DE" w:rsidRPr="00024713" w:rsidRDefault="008C37DE" w:rsidP="005768BF">
            <w:pPr>
              <w:jc w:val="both"/>
            </w:pPr>
            <w:r w:rsidRPr="00024713">
              <w:rPr>
                <w:bCs/>
              </w:rPr>
              <w:t>Протез бедра модульный, в том числе при врожденном недоразвитии</w:t>
            </w:r>
          </w:p>
        </w:tc>
        <w:tc>
          <w:tcPr>
            <w:tcW w:w="2381" w:type="dxa"/>
            <w:vMerge w:val="restart"/>
            <w:shd w:val="clear" w:color="auto" w:fill="auto"/>
          </w:tcPr>
          <w:p w:rsidR="008C37DE" w:rsidRPr="00024713" w:rsidRDefault="008C37DE" w:rsidP="005768BF">
            <w:pPr>
              <w:keepNext/>
              <w:tabs>
                <w:tab w:val="left" w:pos="0"/>
              </w:tabs>
              <w:suppressAutoHyphens/>
              <w:snapToGrid w:val="0"/>
              <w:jc w:val="both"/>
              <w:rPr>
                <w:lang w:eastAsia="ar-SA"/>
              </w:rPr>
            </w:pPr>
            <w:r w:rsidRPr="00024713">
              <w:rPr>
                <w:lang w:eastAsia="ar-SA"/>
              </w:rPr>
              <w:t xml:space="preserve">Протез бедра модульный для получателей среднего уровня активности, постоянный. Пробная приемная гильза и постоянная приемная гильза изготовлены по слепку. Вкладная элемент мягкая гильза изготовлена по слепку. Коленный шарнир многоосный, с независимым пневматическим регулированием фазы сгибания и разгибания. Стопа со средним уровнем энергосбережения. Крепление с использованием бандажа. Изделие </w:t>
            </w:r>
            <w:r w:rsidRPr="00024713">
              <w:rPr>
                <w:lang w:eastAsia="ar-SA"/>
              </w:rPr>
              <w:lastRenderedPageBreak/>
              <w:t>должно иметь формообразующую часть облицовки с косметическим покрытием чулками ортопедическими</w:t>
            </w:r>
          </w:p>
        </w:tc>
        <w:tc>
          <w:tcPr>
            <w:tcW w:w="1588" w:type="dxa"/>
            <w:shd w:val="clear" w:color="auto" w:fill="auto"/>
          </w:tcPr>
          <w:p w:rsidR="008C37DE" w:rsidRPr="00024713" w:rsidRDefault="008C37DE" w:rsidP="005768BF">
            <w:pPr>
              <w:suppressAutoHyphens/>
              <w:snapToGrid w:val="0"/>
              <w:jc w:val="both"/>
              <w:rPr>
                <w:bCs/>
                <w:lang w:eastAsia="ar-SA"/>
              </w:rPr>
            </w:pPr>
            <w:r w:rsidRPr="00024713">
              <w:rPr>
                <w:bCs/>
                <w:lang w:eastAsia="ar-SA"/>
              </w:rPr>
              <w:lastRenderedPageBreak/>
              <w:t>Материал пробной приемной гильзы – листовой термопласт</w:t>
            </w:r>
          </w:p>
        </w:tc>
        <w:tc>
          <w:tcPr>
            <w:tcW w:w="1559" w:type="dxa"/>
            <w:shd w:val="clear" w:color="auto" w:fill="auto"/>
          </w:tcPr>
          <w:p w:rsidR="008C37DE" w:rsidRPr="00024713" w:rsidRDefault="008C37DE" w:rsidP="005768BF">
            <w:pPr>
              <w:suppressAutoHyphens/>
              <w:snapToGrid w:val="0"/>
              <w:jc w:val="both"/>
              <w:rPr>
                <w:bCs/>
                <w:lang w:eastAsia="ar-SA"/>
              </w:rPr>
            </w:pPr>
            <w:r w:rsidRPr="00024713">
              <w:rPr>
                <w:bCs/>
                <w:lang w:eastAsia="ar-SA"/>
              </w:rPr>
              <w:t>Наличие</w:t>
            </w:r>
          </w:p>
        </w:tc>
        <w:tc>
          <w:tcPr>
            <w:tcW w:w="1417"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Согласно техническим характеристикам и заключения МТК</w:t>
            </w:r>
          </w:p>
        </w:tc>
        <w:tc>
          <w:tcPr>
            <w:tcW w:w="850"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1</w:t>
            </w: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Материалы постоянной приемной гильзы – слоистый пластик на основе связующих смол</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Наличие</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Материал вкладной мягкой гильзы – вспененный термопласт</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Наличие</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Материал стопы</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Полиуретан</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 xml:space="preserve">Материал облицовки </w:t>
            </w:r>
          </w:p>
        </w:tc>
        <w:tc>
          <w:tcPr>
            <w:tcW w:w="1559" w:type="dxa"/>
            <w:shd w:val="clear" w:color="auto" w:fill="auto"/>
          </w:tcPr>
          <w:p w:rsidR="008C37DE" w:rsidRPr="00024713" w:rsidRDefault="008C37DE" w:rsidP="005768BF">
            <w:pPr>
              <w:tabs>
                <w:tab w:val="left" w:pos="-108"/>
              </w:tabs>
              <w:suppressAutoHyphens/>
              <w:jc w:val="both"/>
              <w:rPr>
                <w:bCs/>
                <w:lang w:eastAsia="ar-SA"/>
              </w:rPr>
            </w:pPr>
            <w:r w:rsidRPr="00024713">
              <w:rPr>
                <w:bCs/>
                <w:lang w:eastAsia="ar-SA"/>
              </w:rPr>
              <w:t>Полиуретан</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rPr>
          <w:trHeight w:val="3851"/>
        </w:trPr>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bCs/>
                <w:lang w:eastAsia="ar-SA"/>
              </w:rPr>
            </w:pPr>
            <w:r w:rsidRPr="00024713">
              <w:rPr>
                <w:lang w:eastAsia="ar-SA"/>
              </w:rPr>
              <w:t>Максимальная нагрузка на регулировочно-соединительные устройства</w:t>
            </w:r>
          </w:p>
        </w:tc>
        <w:tc>
          <w:tcPr>
            <w:tcW w:w="1559" w:type="dxa"/>
            <w:shd w:val="clear" w:color="auto" w:fill="auto"/>
          </w:tcPr>
          <w:p w:rsidR="008C37DE" w:rsidRPr="00024713" w:rsidRDefault="008C37DE" w:rsidP="005768BF">
            <w:pPr>
              <w:tabs>
                <w:tab w:val="left" w:pos="-108"/>
              </w:tabs>
              <w:suppressAutoHyphens/>
              <w:jc w:val="both"/>
              <w:rPr>
                <w:bCs/>
                <w:lang w:eastAsia="ar-SA"/>
              </w:rPr>
            </w:pPr>
            <w:r>
              <w:t>Н</w:t>
            </w:r>
            <w:r w:rsidRPr="000242A1">
              <w:t>е менее 100 кг (включительно)</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rPr>
          <w:trHeight w:val="1364"/>
        </w:trPr>
        <w:tc>
          <w:tcPr>
            <w:tcW w:w="709"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5</w:t>
            </w:r>
          </w:p>
        </w:tc>
        <w:tc>
          <w:tcPr>
            <w:tcW w:w="1560" w:type="dxa"/>
            <w:vMerge w:val="restart"/>
            <w:shd w:val="clear" w:color="auto" w:fill="auto"/>
          </w:tcPr>
          <w:p w:rsidR="008C37DE" w:rsidRPr="00024713" w:rsidRDefault="008C37DE" w:rsidP="005768BF">
            <w:pPr>
              <w:jc w:val="both"/>
            </w:pPr>
            <w:r w:rsidRPr="00024713">
              <w:rPr>
                <w:bCs/>
              </w:rPr>
              <w:t>Протез бедра для купания</w:t>
            </w:r>
          </w:p>
        </w:tc>
        <w:tc>
          <w:tcPr>
            <w:tcW w:w="2381" w:type="dxa"/>
            <w:vMerge w:val="restart"/>
            <w:shd w:val="clear" w:color="auto" w:fill="auto"/>
          </w:tcPr>
          <w:p w:rsidR="008C37DE" w:rsidRPr="00024713" w:rsidRDefault="008C37DE" w:rsidP="005768BF">
            <w:pPr>
              <w:keepNext/>
              <w:tabs>
                <w:tab w:val="left" w:pos="0"/>
              </w:tabs>
              <w:suppressAutoHyphens/>
              <w:snapToGrid w:val="0"/>
              <w:jc w:val="both"/>
              <w:rPr>
                <w:lang w:eastAsia="ar-SA"/>
              </w:rPr>
            </w:pPr>
            <w:r w:rsidRPr="00024713">
              <w:rPr>
                <w:lang w:eastAsia="ar-SA"/>
              </w:rPr>
              <w:t>Протез бедра модульный, специальный. Пробная приемная гильза, постоянная приемная гильза изготовлены по слепку. Регулировочно – соединительные устройства влагостойкие. Стопа бесшарнирная монолитная, со специальным рифлением на подошвенной поверхности для увеличения надежности сцепления на мокрой и скользкой поверхности с водостойким адаптером. Коленный шарнир одноосный, гидравлический, влагостойкий. Крепление протеза- влагостойкий вакуумный клапан. Изделие должно иметь формообразующую часть облицовки.</w:t>
            </w:r>
          </w:p>
        </w:tc>
        <w:tc>
          <w:tcPr>
            <w:tcW w:w="1588"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Материал пробной приемной гильзы – листовой термопласт</w:t>
            </w:r>
          </w:p>
        </w:tc>
        <w:tc>
          <w:tcPr>
            <w:tcW w:w="1559"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Наличие</w:t>
            </w:r>
          </w:p>
        </w:tc>
        <w:tc>
          <w:tcPr>
            <w:tcW w:w="1417"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Согласно техническим характеристикам и заключения МТК</w:t>
            </w:r>
          </w:p>
        </w:tc>
        <w:tc>
          <w:tcPr>
            <w:tcW w:w="850" w:type="dxa"/>
            <w:vMerge w:val="restart"/>
            <w:shd w:val="clear" w:color="auto" w:fill="auto"/>
          </w:tcPr>
          <w:p w:rsidR="008C37DE" w:rsidRPr="00024713" w:rsidRDefault="008C37DE" w:rsidP="005768BF">
            <w:pPr>
              <w:tabs>
                <w:tab w:val="left" w:pos="0"/>
              </w:tabs>
              <w:suppressAutoHyphens/>
              <w:snapToGrid w:val="0"/>
              <w:jc w:val="both"/>
              <w:rPr>
                <w:lang w:eastAsia="ar-SA"/>
              </w:rPr>
            </w:pPr>
            <w:r w:rsidRPr="00024713">
              <w:rPr>
                <w:lang w:eastAsia="ar-SA"/>
              </w:rPr>
              <w:t>3</w:t>
            </w:r>
          </w:p>
        </w:tc>
      </w:tr>
      <w:tr w:rsidR="008C37DE" w:rsidRPr="00024713" w:rsidTr="005768BF">
        <w:trPr>
          <w:trHeight w:val="1270"/>
        </w:trPr>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Материалы постоянной приемной гильзы – слоистый пластик на основе связующих смол</w:t>
            </w:r>
          </w:p>
        </w:tc>
        <w:tc>
          <w:tcPr>
            <w:tcW w:w="1559"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Наличие</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rPr>
          <w:trHeight w:val="693"/>
        </w:trPr>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Материал стопы</w:t>
            </w:r>
          </w:p>
        </w:tc>
        <w:tc>
          <w:tcPr>
            <w:tcW w:w="1559"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Полиуретан</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rPr>
          <w:trHeight w:val="986"/>
        </w:trPr>
        <w:tc>
          <w:tcPr>
            <w:tcW w:w="709"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shd w:val="clear" w:color="auto" w:fill="auto"/>
          </w:tcPr>
          <w:p w:rsidR="008C37DE" w:rsidRPr="00024713" w:rsidRDefault="008C37DE" w:rsidP="005768BF">
            <w:pPr>
              <w:suppressAutoHyphens/>
              <w:snapToGrid w:val="0"/>
              <w:jc w:val="both"/>
              <w:rPr>
                <w:lang w:eastAsia="ar-SA"/>
              </w:rPr>
            </w:pPr>
          </w:p>
        </w:tc>
        <w:tc>
          <w:tcPr>
            <w:tcW w:w="2381"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1588"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Материал облицовки</w:t>
            </w:r>
          </w:p>
        </w:tc>
        <w:tc>
          <w:tcPr>
            <w:tcW w:w="1559" w:type="dxa"/>
            <w:shd w:val="clear" w:color="auto" w:fill="auto"/>
          </w:tcPr>
          <w:p w:rsidR="008C37DE" w:rsidRPr="00024713" w:rsidRDefault="008C37DE" w:rsidP="005768BF">
            <w:pPr>
              <w:tabs>
                <w:tab w:val="left" w:pos="-108"/>
              </w:tabs>
              <w:suppressAutoHyphens/>
              <w:jc w:val="both"/>
              <w:rPr>
                <w:lang w:eastAsia="ar-SA"/>
              </w:rPr>
            </w:pPr>
            <w:r w:rsidRPr="00024713">
              <w:rPr>
                <w:lang w:eastAsia="ar-SA"/>
              </w:rPr>
              <w:t>Полиуретан</w:t>
            </w:r>
          </w:p>
        </w:tc>
        <w:tc>
          <w:tcPr>
            <w:tcW w:w="1417" w:type="dxa"/>
            <w:vMerge/>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rPr>
          <w:trHeight w:val="2572"/>
        </w:trPr>
        <w:tc>
          <w:tcPr>
            <w:tcW w:w="709" w:type="dxa"/>
            <w:vMerge/>
            <w:tcBorders>
              <w:bottom w:val="single" w:sz="4" w:space="0" w:color="auto"/>
            </w:tcBorders>
            <w:shd w:val="clear" w:color="auto" w:fill="auto"/>
          </w:tcPr>
          <w:p w:rsidR="008C37DE" w:rsidRPr="00024713" w:rsidRDefault="008C37DE" w:rsidP="005768BF">
            <w:pPr>
              <w:tabs>
                <w:tab w:val="left" w:pos="0"/>
              </w:tabs>
              <w:suppressAutoHyphens/>
              <w:snapToGrid w:val="0"/>
              <w:jc w:val="both"/>
              <w:rPr>
                <w:lang w:eastAsia="ar-SA"/>
              </w:rPr>
            </w:pPr>
          </w:p>
        </w:tc>
        <w:tc>
          <w:tcPr>
            <w:tcW w:w="1560" w:type="dxa"/>
            <w:vMerge/>
            <w:tcBorders>
              <w:bottom w:val="single" w:sz="4" w:space="0" w:color="auto"/>
            </w:tcBorders>
            <w:shd w:val="clear" w:color="auto" w:fill="auto"/>
          </w:tcPr>
          <w:p w:rsidR="008C37DE" w:rsidRPr="00024713" w:rsidRDefault="008C37DE" w:rsidP="005768BF">
            <w:pPr>
              <w:suppressAutoHyphens/>
              <w:snapToGrid w:val="0"/>
              <w:jc w:val="both"/>
              <w:rPr>
                <w:lang w:eastAsia="ar-SA"/>
              </w:rPr>
            </w:pPr>
          </w:p>
        </w:tc>
        <w:tc>
          <w:tcPr>
            <w:tcW w:w="2381" w:type="dxa"/>
            <w:vMerge/>
            <w:tcBorders>
              <w:bottom w:val="single" w:sz="4" w:space="0" w:color="auto"/>
            </w:tcBorders>
            <w:shd w:val="clear" w:color="auto" w:fill="auto"/>
          </w:tcPr>
          <w:p w:rsidR="008C37DE" w:rsidRPr="00024713" w:rsidRDefault="008C37DE" w:rsidP="005768BF">
            <w:pPr>
              <w:tabs>
                <w:tab w:val="left" w:pos="0"/>
              </w:tabs>
              <w:suppressAutoHyphens/>
              <w:snapToGrid w:val="0"/>
              <w:jc w:val="both"/>
              <w:rPr>
                <w:lang w:eastAsia="ar-SA"/>
              </w:rPr>
            </w:pPr>
          </w:p>
        </w:tc>
        <w:tc>
          <w:tcPr>
            <w:tcW w:w="1588" w:type="dxa"/>
            <w:tcBorders>
              <w:bottom w:val="single" w:sz="4" w:space="0" w:color="auto"/>
            </w:tcBorders>
            <w:shd w:val="clear" w:color="auto" w:fill="auto"/>
          </w:tcPr>
          <w:p w:rsidR="008C37DE" w:rsidRPr="00024713" w:rsidRDefault="008C37DE" w:rsidP="005768BF">
            <w:pPr>
              <w:tabs>
                <w:tab w:val="left" w:pos="-108"/>
              </w:tabs>
              <w:suppressAutoHyphens/>
              <w:jc w:val="both"/>
              <w:rPr>
                <w:lang w:eastAsia="ar-SA"/>
              </w:rPr>
            </w:pPr>
            <w:r w:rsidRPr="00024713">
              <w:rPr>
                <w:lang w:eastAsia="ar-SA"/>
              </w:rPr>
              <w:t>Максимальная нагрузка на регулировочно-соединительные устройства</w:t>
            </w:r>
          </w:p>
        </w:tc>
        <w:tc>
          <w:tcPr>
            <w:tcW w:w="1559" w:type="dxa"/>
            <w:tcBorders>
              <w:bottom w:val="single" w:sz="4" w:space="0" w:color="auto"/>
            </w:tcBorders>
            <w:shd w:val="clear" w:color="auto" w:fill="auto"/>
          </w:tcPr>
          <w:p w:rsidR="008C37DE" w:rsidRPr="00024713" w:rsidRDefault="008C37DE" w:rsidP="005768BF">
            <w:pPr>
              <w:tabs>
                <w:tab w:val="left" w:pos="-108"/>
              </w:tabs>
              <w:suppressAutoHyphens/>
              <w:jc w:val="both"/>
              <w:rPr>
                <w:lang w:eastAsia="ar-SA"/>
              </w:rPr>
            </w:pPr>
            <w:r>
              <w:t>Н</w:t>
            </w:r>
            <w:r w:rsidRPr="000242A1">
              <w:t>е менее 100 кг (включительно)</w:t>
            </w:r>
          </w:p>
        </w:tc>
        <w:tc>
          <w:tcPr>
            <w:tcW w:w="1417" w:type="dxa"/>
            <w:vMerge/>
            <w:tcBorders>
              <w:bottom w:val="single" w:sz="4" w:space="0" w:color="auto"/>
            </w:tcBorders>
            <w:shd w:val="clear" w:color="auto" w:fill="auto"/>
          </w:tcPr>
          <w:p w:rsidR="008C37DE" w:rsidRPr="00024713" w:rsidRDefault="008C37DE" w:rsidP="005768BF">
            <w:pPr>
              <w:tabs>
                <w:tab w:val="left" w:pos="0"/>
              </w:tabs>
              <w:suppressAutoHyphens/>
              <w:snapToGrid w:val="0"/>
              <w:jc w:val="both"/>
              <w:rPr>
                <w:lang w:eastAsia="ar-SA"/>
              </w:rPr>
            </w:pPr>
          </w:p>
        </w:tc>
        <w:tc>
          <w:tcPr>
            <w:tcW w:w="850" w:type="dxa"/>
            <w:vMerge/>
            <w:tcBorders>
              <w:bottom w:val="single" w:sz="4" w:space="0" w:color="auto"/>
            </w:tcBorders>
            <w:shd w:val="clear" w:color="auto" w:fill="auto"/>
          </w:tcPr>
          <w:p w:rsidR="008C37DE" w:rsidRPr="00024713" w:rsidRDefault="008C37DE" w:rsidP="005768BF">
            <w:pPr>
              <w:tabs>
                <w:tab w:val="left" w:pos="0"/>
              </w:tabs>
              <w:suppressAutoHyphens/>
              <w:snapToGrid w:val="0"/>
              <w:jc w:val="both"/>
              <w:rPr>
                <w:lang w:eastAsia="ar-SA"/>
              </w:rPr>
            </w:pPr>
          </w:p>
        </w:tc>
      </w:tr>
      <w:tr w:rsidR="008C37DE" w:rsidRPr="00024713" w:rsidTr="005768BF">
        <w:tc>
          <w:tcPr>
            <w:tcW w:w="10064" w:type="dxa"/>
            <w:gridSpan w:val="7"/>
            <w:shd w:val="clear" w:color="auto" w:fill="auto"/>
          </w:tcPr>
          <w:p w:rsidR="008C37DE" w:rsidRPr="00024713" w:rsidRDefault="008C37DE" w:rsidP="005768BF">
            <w:pPr>
              <w:widowControl w:val="0"/>
              <w:suppressAutoHyphens/>
              <w:jc w:val="right"/>
              <w:rPr>
                <w:lang w:eastAsia="ar-SA"/>
              </w:rPr>
            </w:pPr>
            <w:r>
              <w:rPr>
                <w:lang w:eastAsia="ar-SA"/>
              </w:rPr>
              <w:t>ИТОГО: 7</w:t>
            </w:r>
            <w:r w:rsidRPr="00024713">
              <w:rPr>
                <w:lang w:eastAsia="ar-SA"/>
              </w:rPr>
              <w:t xml:space="preserve"> </w:t>
            </w:r>
          </w:p>
        </w:tc>
      </w:tr>
    </w:tbl>
    <w:p w:rsidR="00FE08FA" w:rsidRDefault="00FE08FA">
      <w:bookmarkStart w:id="0" w:name="_GoBack"/>
      <w:bookmarkEnd w:id="0"/>
    </w:p>
    <w:sectPr w:rsidR="00FE08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DA" w:rsidRDefault="00E62EDA" w:rsidP="008C37DE">
      <w:r>
        <w:separator/>
      </w:r>
    </w:p>
  </w:endnote>
  <w:endnote w:type="continuationSeparator" w:id="0">
    <w:p w:rsidR="00E62EDA" w:rsidRDefault="00E62EDA" w:rsidP="008C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DA" w:rsidRDefault="00E62EDA" w:rsidP="008C37DE">
      <w:r>
        <w:separator/>
      </w:r>
    </w:p>
  </w:footnote>
  <w:footnote w:type="continuationSeparator" w:id="0">
    <w:p w:rsidR="00E62EDA" w:rsidRDefault="00E62EDA" w:rsidP="008C37DE">
      <w:r>
        <w:continuationSeparator/>
      </w:r>
    </w:p>
  </w:footnote>
  <w:footnote w:id="1">
    <w:p w:rsidR="008C37DE" w:rsidRPr="004D2FEC" w:rsidRDefault="008C37DE" w:rsidP="008C37DE">
      <w:pPr>
        <w:autoSpaceDE w:val="0"/>
        <w:autoSpaceDN w:val="0"/>
        <w:adjustRightInd w:val="0"/>
        <w:ind w:firstLine="539"/>
        <w:jc w:val="both"/>
        <w:rPr>
          <w:sz w:val="20"/>
          <w:szCs w:val="20"/>
        </w:rPr>
      </w:pPr>
      <w:r>
        <w:rPr>
          <w:rStyle w:val="a3"/>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8C37DE" w:rsidRDefault="008C37DE" w:rsidP="008C37DE">
      <w:pPr>
        <w:autoSpaceDE w:val="0"/>
        <w:autoSpaceDN w:val="0"/>
        <w:adjustRightInd w:val="0"/>
        <w:ind w:firstLine="53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A1"/>
    <w:rsid w:val="003161A1"/>
    <w:rsid w:val="008C37DE"/>
    <w:rsid w:val="00E62EDA"/>
    <w:rsid w:val="00FE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CDEF81-0F86-4348-B985-7C617C8F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8C3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8456</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Пинаевская</dc:creator>
  <cp:keywords/>
  <dc:description/>
  <cp:lastModifiedBy>Марина Пинаевская</cp:lastModifiedBy>
  <cp:revision>2</cp:revision>
  <dcterms:created xsi:type="dcterms:W3CDTF">2018-10-01T09:02:00Z</dcterms:created>
  <dcterms:modified xsi:type="dcterms:W3CDTF">2018-10-01T09:03:00Z</dcterms:modified>
</cp:coreProperties>
</file>