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B1" w:rsidRDefault="002167B1" w:rsidP="002167B1">
      <w:pPr>
        <w:widowControl w:val="0"/>
        <w:jc w:val="both"/>
        <w:rPr>
          <w:b/>
        </w:rPr>
      </w:pPr>
      <w:r w:rsidRPr="00930F0D">
        <w:rPr>
          <w:b/>
        </w:rPr>
        <w:t>Описание объекта закупки (техническое задание)</w:t>
      </w:r>
    </w:p>
    <w:p w:rsidR="002167B1" w:rsidRPr="008C4ED8" w:rsidRDefault="002167B1" w:rsidP="002167B1">
      <w:pPr>
        <w:ind w:right="10"/>
        <w:jc w:val="both"/>
      </w:pPr>
      <w:r w:rsidRPr="008C4ED8">
        <w:t>Поставщик должен поставлять впитывающие простыни (пеленки)</w:t>
      </w:r>
      <w:r w:rsidRPr="008C4ED8">
        <w:rPr>
          <w:b/>
          <w:bCs/>
        </w:rPr>
        <w:t xml:space="preserve"> </w:t>
      </w:r>
      <w:r w:rsidRPr="008C4ED8">
        <w:t>(далее - Изделия) для инвалидов (далее – Получатели) в соответствии с требованиями, предъявляемыми в настоящем техническом задании, в период действия государственных контрактов.</w:t>
      </w:r>
    </w:p>
    <w:p w:rsidR="002167B1" w:rsidRDefault="002167B1" w:rsidP="002167B1">
      <w:pPr>
        <w:autoSpaceDE w:val="0"/>
        <w:autoSpaceDN w:val="0"/>
        <w:adjustRightInd w:val="0"/>
        <w:jc w:val="both"/>
      </w:pPr>
    </w:p>
    <w:p w:rsidR="002167B1" w:rsidRPr="00F4518A" w:rsidRDefault="002167B1" w:rsidP="002167B1">
      <w:pPr>
        <w:widowControl w:val="0"/>
        <w:autoSpaceDE w:val="0"/>
        <w:jc w:val="both"/>
      </w:pPr>
      <w:r w:rsidRPr="00F4518A">
        <w:rPr>
          <w:b/>
          <w:bCs/>
        </w:rPr>
        <w:t>Срок поставки:</w:t>
      </w:r>
      <w:r w:rsidRPr="00F4518A">
        <w:t xml:space="preserve"> со дня, следующего за днем заключения государственного контракта, до </w:t>
      </w:r>
      <w:r>
        <w:t>11.12.2018</w:t>
      </w:r>
      <w:r w:rsidRPr="0027353B">
        <w:t xml:space="preserve"> </w:t>
      </w:r>
      <w:r w:rsidRPr="00F4518A">
        <w:t>включительно.</w:t>
      </w:r>
    </w:p>
    <w:p w:rsidR="002167B1" w:rsidRPr="00B92230" w:rsidRDefault="002167B1" w:rsidP="002167B1">
      <w:pPr>
        <w:jc w:val="both"/>
      </w:pPr>
    </w:p>
    <w:p w:rsidR="002167B1" w:rsidRDefault="002167B1" w:rsidP="002167B1">
      <w:pPr>
        <w:spacing w:line="240" w:lineRule="atLeast"/>
        <w:jc w:val="both"/>
        <w:rPr>
          <w:b/>
        </w:rPr>
      </w:pPr>
      <w:r>
        <w:rPr>
          <w:b/>
        </w:rPr>
        <w:t>1</w:t>
      </w:r>
      <w:r w:rsidRPr="00EC48D5">
        <w:rPr>
          <w:b/>
        </w:rPr>
        <w:t>. Поставляемые Изделия должны отвечать следующим требованиям:</w:t>
      </w:r>
    </w:p>
    <w:p w:rsidR="002167B1" w:rsidRDefault="002167B1" w:rsidP="002167B1">
      <w:pPr>
        <w:jc w:val="both"/>
      </w:pPr>
      <w:r>
        <w:t>1</w:t>
      </w:r>
      <w:r w:rsidRPr="001E6D40">
        <w:t xml:space="preserve">.1. </w:t>
      </w: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2167B1" w:rsidRDefault="002167B1" w:rsidP="002167B1">
      <w:pPr>
        <w:jc w:val="both"/>
      </w:pPr>
      <w:r w:rsidRPr="00265282">
        <w:t>1.2.</w:t>
      </w:r>
      <w:r>
        <w:t xml:space="preserve"> </w:t>
      </w:r>
      <w:r w:rsidRPr="00265282">
        <w:t xml:space="preserve">Упаковка Изделий (ТСР) должна обеспечивать защиту Изделий (ТСР) от повреждений, порчи (изнашивания) или загрязнения во время хранения и транспортирования к месту использования по назначению (п. 4.11.5 ГОСТ </w:t>
      </w:r>
      <w:proofErr w:type="gramStart"/>
      <w:r w:rsidRPr="00265282">
        <w:t>Р</w:t>
      </w:r>
      <w:proofErr w:type="gramEnd"/>
      <w:r w:rsidRPr="00265282">
        <w:t xml:space="preserve"> 51632-2014 «Технические средства реабилитации людей с ограничениями жизнедеятельности. </w:t>
      </w:r>
      <w:proofErr w:type="gramStart"/>
      <w:r w:rsidRPr="00265282">
        <w:t>Общие технические требования и методы испытаний»).</w:t>
      </w:r>
      <w:proofErr w:type="gramEnd"/>
    </w:p>
    <w:p w:rsidR="002167B1" w:rsidRDefault="002167B1" w:rsidP="002167B1">
      <w:pPr>
        <w:jc w:val="both"/>
      </w:pPr>
      <w:r>
        <w:t>1.3</w:t>
      </w:r>
      <w:r w:rsidRPr="001E6D40">
        <w:t xml:space="preserve">. Изделия должны быть новыми. Изделия должны быть </w:t>
      </w:r>
      <w:r>
        <w:t>свободными от прав третьих лиц.</w:t>
      </w:r>
    </w:p>
    <w:p w:rsidR="002167B1" w:rsidRDefault="002167B1" w:rsidP="002167B1">
      <w:pPr>
        <w:jc w:val="both"/>
      </w:pPr>
      <w:r>
        <w:t xml:space="preserve">1.4. </w:t>
      </w:r>
      <w:r w:rsidRPr="00510EB4">
        <w:rPr>
          <w:lang w:eastAsia="ar-SA"/>
        </w:rPr>
        <w:t>Изделия должны отвечать следующим требованиям</w:t>
      </w:r>
      <w:r>
        <w:rPr>
          <w:rStyle w:val="a5"/>
        </w:rPr>
        <w:t xml:space="preserve"> </w:t>
      </w:r>
      <w:r>
        <w:rPr>
          <w:rStyle w:val="a5"/>
        </w:rPr>
        <w:footnoteReference w:id="1"/>
      </w:r>
      <w:r w:rsidRPr="00212C3D">
        <w:t>:</w:t>
      </w:r>
    </w:p>
    <w:p w:rsidR="002167B1" w:rsidRDefault="002167B1" w:rsidP="002167B1">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2381"/>
        <w:gridCol w:w="1559"/>
        <w:gridCol w:w="2126"/>
        <w:gridCol w:w="1418"/>
      </w:tblGrid>
      <w:tr w:rsidR="002167B1" w:rsidRPr="003376A9" w:rsidTr="00110492">
        <w:tc>
          <w:tcPr>
            <w:tcW w:w="596" w:type="dxa"/>
            <w:shd w:val="clear" w:color="auto" w:fill="auto"/>
          </w:tcPr>
          <w:p w:rsidR="002167B1" w:rsidRPr="003376A9" w:rsidRDefault="002167B1" w:rsidP="00110492">
            <w:pPr>
              <w:pStyle w:val="a6"/>
              <w:widowControl w:val="0"/>
              <w:snapToGrid w:val="0"/>
              <w:jc w:val="both"/>
              <w:rPr>
                <w:sz w:val="22"/>
                <w:szCs w:val="22"/>
              </w:rPr>
            </w:pPr>
            <w:r w:rsidRPr="003376A9">
              <w:rPr>
                <w:sz w:val="22"/>
                <w:szCs w:val="22"/>
              </w:rPr>
              <w:t xml:space="preserve">№ </w:t>
            </w:r>
            <w:proofErr w:type="gramStart"/>
            <w:r w:rsidRPr="003376A9">
              <w:rPr>
                <w:sz w:val="22"/>
                <w:szCs w:val="22"/>
              </w:rPr>
              <w:t>п</w:t>
            </w:r>
            <w:proofErr w:type="gramEnd"/>
            <w:r w:rsidRPr="003376A9">
              <w:rPr>
                <w:sz w:val="22"/>
                <w:szCs w:val="22"/>
              </w:rPr>
              <w:t>/п</w:t>
            </w:r>
          </w:p>
          <w:p w:rsidR="002167B1" w:rsidRPr="003376A9" w:rsidRDefault="002167B1" w:rsidP="00110492">
            <w:pPr>
              <w:pStyle w:val="a6"/>
              <w:widowControl w:val="0"/>
              <w:snapToGrid w:val="0"/>
              <w:jc w:val="both"/>
              <w:rPr>
                <w:sz w:val="22"/>
                <w:szCs w:val="22"/>
              </w:rPr>
            </w:pPr>
          </w:p>
        </w:tc>
        <w:tc>
          <w:tcPr>
            <w:tcW w:w="1843" w:type="dxa"/>
            <w:shd w:val="clear" w:color="auto" w:fill="auto"/>
          </w:tcPr>
          <w:p w:rsidR="002167B1" w:rsidRPr="003376A9" w:rsidRDefault="002167B1" w:rsidP="00110492">
            <w:pPr>
              <w:pStyle w:val="a6"/>
              <w:widowControl w:val="0"/>
              <w:snapToGrid w:val="0"/>
              <w:jc w:val="both"/>
              <w:rPr>
                <w:sz w:val="22"/>
                <w:szCs w:val="22"/>
              </w:rPr>
            </w:pPr>
            <w:r w:rsidRPr="003376A9">
              <w:rPr>
                <w:sz w:val="22"/>
                <w:szCs w:val="22"/>
              </w:rPr>
              <w:t>Наименование Изделия</w:t>
            </w:r>
          </w:p>
        </w:tc>
        <w:tc>
          <w:tcPr>
            <w:tcW w:w="2381" w:type="dxa"/>
            <w:shd w:val="clear" w:color="auto" w:fill="auto"/>
          </w:tcPr>
          <w:p w:rsidR="002167B1" w:rsidRPr="003376A9" w:rsidRDefault="002167B1" w:rsidP="00110492">
            <w:pPr>
              <w:pStyle w:val="a6"/>
              <w:widowControl w:val="0"/>
              <w:snapToGrid w:val="0"/>
              <w:jc w:val="both"/>
              <w:rPr>
                <w:sz w:val="22"/>
                <w:szCs w:val="22"/>
              </w:rPr>
            </w:pPr>
            <w:r w:rsidRPr="003376A9">
              <w:rPr>
                <w:sz w:val="22"/>
                <w:szCs w:val="22"/>
              </w:rPr>
              <w:t>Наименование характеристики</w:t>
            </w:r>
          </w:p>
        </w:tc>
        <w:tc>
          <w:tcPr>
            <w:tcW w:w="1559" w:type="dxa"/>
            <w:shd w:val="clear" w:color="auto" w:fill="auto"/>
          </w:tcPr>
          <w:p w:rsidR="002167B1" w:rsidRPr="003376A9" w:rsidRDefault="002167B1" w:rsidP="00110492">
            <w:pPr>
              <w:pStyle w:val="a6"/>
              <w:widowControl w:val="0"/>
              <w:snapToGrid w:val="0"/>
              <w:jc w:val="both"/>
              <w:rPr>
                <w:sz w:val="22"/>
                <w:szCs w:val="22"/>
              </w:rPr>
            </w:pPr>
            <w:r w:rsidRPr="003376A9">
              <w:rPr>
                <w:sz w:val="22"/>
                <w:szCs w:val="22"/>
              </w:rPr>
              <w:t>Показатель характеристики</w:t>
            </w:r>
          </w:p>
        </w:tc>
        <w:tc>
          <w:tcPr>
            <w:tcW w:w="2126" w:type="dxa"/>
          </w:tcPr>
          <w:p w:rsidR="002167B1" w:rsidRPr="003376A9" w:rsidRDefault="002167B1" w:rsidP="00110492">
            <w:pPr>
              <w:widowControl w:val="0"/>
              <w:suppressAutoHyphens/>
              <w:snapToGrid w:val="0"/>
              <w:jc w:val="center"/>
              <w:rPr>
                <w:sz w:val="22"/>
                <w:szCs w:val="22"/>
              </w:rPr>
            </w:pPr>
            <w:r w:rsidRPr="003376A9">
              <w:rPr>
                <w:sz w:val="22"/>
                <w:szCs w:val="22"/>
              </w:rPr>
              <w:t>ГОСТ, технический регламент/обоснование использования (в том числе его характеристика)</w:t>
            </w:r>
          </w:p>
        </w:tc>
        <w:tc>
          <w:tcPr>
            <w:tcW w:w="1418" w:type="dxa"/>
            <w:shd w:val="clear" w:color="auto" w:fill="auto"/>
          </w:tcPr>
          <w:p w:rsidR="002167B1" w:rsidRPr="003376A9" w:rsidRDefault="002167B1" w:rsidP="00110492">
            <w:pPr>
              <w:pStyle w:val="a6"/>
              <w:widowControl w:val="0"/>
              <w:snapToGrid w:val="0"/>
              <w:jc w:val="both"/>
              <w:rPr>
                <w:sz w:val="22"/>
                <w:szCs w:val="22"/>
                <w:lang w:val="en-US"/>
              </w:rPr>
            </w:pPr>
            <w:r w:rsidRPr="003376A9">
              <w:rPr>
                <w:sz w:val="22"/>
                <w:szCs w:val="22"/>
              </w:rPr>
              <w:t xml:space="preserve">Количество Изделий </w:t>
            </w:r>
          </w:p>
        </w:tc>
      </w:tr>
      <w:tr w:rsidR="002167B1" w:rsidRPr="003376A9" w:rsidTr="00110492">
        <w:trPr>
          <w:trHeight w:val="1313"/>
        </w:trPr>
        <w:tc>
          <w:tcPr>
            <w:tcW w:w="596" w:type="dxa"/>
            <w:vMerge w:val="restart"/>
            <w:shd w:val="clear" w:color="auto" w:fill="auto"/>
          </w:tcPr>
          <w:p w:rsidR="002167B1" w:rsidRPr="003376A9" w:rsidRDefault="002167B1" w:rsidP="00110492">
            <w:pPr>
              <w:pStyle w:val="a6"/>
              <w:widowControl w:val="0"/>
              <w:snapToGrid w:val="0"/>
              <w:jc w:val="both"/>
              <w:rPr>
                <w:sz w:val="22"/>
                <w:szCs w:val="22"/>
              </w:rPr>
            </w:pPr>
            <w:r w:rsidRPr="003376A9">
              <w:rPr>
                <w:sz w:val="22"/>
                <w:szCs w:val="22"/>
              </w:rPr>
              <w:t>1.</w:t>
            </w:r>
          </w:p>
        </w:tc>
        <w:tc>
          <w:tcPr>
            <w:tcW w:w="1843" w:type="dxa"/>
            <w:vMerge w:val="restart"/>
            <w:shd w:val="clear" w:color="auto" w:fill="auto"/>
          </w:tcPr>
          <w:p w:rsidR="002167B1" w:rsidRPr="003376A9" w:rsidRDefault="002167B1" w:rsidP="00110492">
            <w:pPr>
              <w:snapToGrid w:val="0"/>
              <w:rPr>
                <w:rFonts w:eastAsia="Arial Unicode MS"/>
                <w:sz w:val="22"/>
                <w:szCs w:val="22"/>
              </w:rPr>
            </w:pPr>
            <w:r w:rsidRPr="003376A9">
              <w:rPr>
                <w:sz w:val="22"/>
                <w:szCs w:val="22"/>
              </w:rPr>
              <w:t xml:space="preserve">Впитывающие простыни (пеленки) </w:t>
            </w:r>
          </w:p>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snapToGrid w:val="0"/>
              <w:jc w:val="center"/>
              <w:rPr>
                <w:sz w:val="22"/>
                <w:szCs w:val="22"/>
              </w:rPr>
            </w:pPr>
            <w:r w:rsidRPr="003376A9">
              <w:rPr>
                <w:sz w:val="22"/>
                <w:szCs w:val="22"/>
              </w:rPr>
              <w:t>Размер</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 xml:space="preserve">не менее </w:t>
            </w:r>
          </w:p>
          <w:p w:rsidR="002167B1" w:rsidRPr="003376A9" w:rsidRDefault="002167B1" w:rsidP="00110492">
            <w:pPr>
              <w:snapToGrid w:val="0"/>
              <w:jc w:val="center"/>
              <w:rPr>
                <w:sz w:val="22"/>
                <w:szCs w:val="22"/>
              </w:rPr>
            </w:pPr>
            <w:smartTag w:uri="urn:schemas-microsoft-com:office:smarttags" w:element="metricconverter">
              <w:smartTagPr>
                <w:attr w:name="ProductID" w:val="60 см"/>
              </w:smartTagPr>
              <w:r w:rsidRPr="003376A9">
                <w:rPr>
                  <w:sz w:val="22"/>
                  <w:szCs w:val="22"/>
                </w:rPr>
                <w:t>60 см</w:t>
              </w:r>
            </w:smartTag>
            <w:r w:rsidRPr="003376A9">
              <w:rPr>
                <w:sz w:val="22"/>
                <w:szCs w:val="22"/>
              </w:rPr>
              <w:t xml:space="preserve"> х </w:t>
            </w:r>
            <w:smartTag w:uri="urn:schemas-microsoft-com:office:smarttags" w:element="metricconverter">
              <w:smartTagPr>
                <w:attr w:name="ProductID" w:val="90 см"/>
              </w:smartTagPr>
              <w:r w:rsidRPr="003376A9">
                <w:rPr>
                  <w:sz w:val="22"/>
                  <w:szCs w:val="22"/>
                </w:rPr>
                <w:t>90 см</w:t>
              </w:r>
            </w:smartTag>
          </w:p>
        </w:tc>
        <w:tc>
          <w:tcPr>
            <w:tcW w:w="2126" w:type="dxa"/>
            <w:vMerge w:val="restart"/>
          </w:tcPr>
          <w:p w:rsidR="002167B1" w:rsidRPr="003376A9" w:rsidRDefault="002167B1" w:rsidP="00110492">
            <w:pPr>
              <w:pStyle w:val="a6"/>
              <w:widowControl w:val="0"/>
              <w:snapToGrid w:val="0"/>
              <w:jc w:val="center"/>
              <w:rPr>
                <w:sz w:val="22"/>
                <w:szCs w:val="22"/>
              </w:rPr>
            </w:pPr>
            <w:r w:rsidRPr="003376A9">
              <w:rPr>
                <w:sz w:val="22"/>
                <w:szCs w:val="22"/>
              </w:rPr>
              <w:t>Приказ Министерства труда и социальной защиты РФ от 24.05.2013г. №214н</w:t>
            </w:r>
          </w:p>
        </w:tc>
        <w:tc>
          <w:tcPr>
            <w:tcW w:w="1418" w:type="dxa"/>
            <w:vMerge w:val="restart"/>
            <w:shd w:val="clear" w:color="auto" w:fill="auto"/>
          </w:tcPr>
          <w:p w:rsidR="002167B1" w:rsidRPr="003376A9" w:rsidRDefault="002167B1" w:rsidP="00110492">
            <w:pPr>
              <w:pStyle w:val="a6"/>
              <w:widowControl w:val="0"/>
              <w:snapToGrid w:val="0"/>
              <w:jc w:val="both"/>
              <w:rPr>
                <w:sz w:val="22"/>
                <w:szCs w:val="22"/>
              </w:rPr>
            </w:pPr>
            <w:r>
              <w:rPr>
                <w:sz w:val="22"/>
                <w:szCs w:val="22"/>
              </w:rPr>
              <w:t>475 000</w:t>
            </w:r>
          </w:p>
        </w:tc>
      </w:tr>
      <w:tr w:rsidR="002167B1" w:rsidRPr="003376A9" w:rsidTr="00110492">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widowControl w:val="0"/>
              <w:suppressAutoHyphens/>
              <w:rPr>
                <w:rFonts w:eastAsia="Arial Unicode MS"/>
                <w:sz w:val="22"/>
                <w:szCs w:val="22"/>
              </w:rPr>
            </w:pPr>
          </w:p>
        </w:tc>
        <w:tc>
          <w:tcPr>
            <w:tcW w:w="2381" w:type="dxa"/>
            <w:shd w:val="clear" w:color="auto" w:fill="auto"/>
          </w:tcPr>
          <w:p w:rsidR="002167B1" w:rsidRPr="003376A9" w:rsidRDefault="002167B1" w:rsidP="00110492">
            <w:pPr>
              <w:jc w:val="center"/>
              <w:rPr>
                <w:sz w:val="22"/>
                <w:szCs w:val="22"/>
              </w:rPr>
            </w:pPr>
            <w:r w:rsidRPr="003376A9">
              <w:rPr>
                <w:sz w:val="22"/>
                <w:szCs w:val="22"/>
              </w:rPr>
              <w:t>Общая впитывающая способность каждого из Изделий</w:t>
            </w:r>
          </w:p>
        </w:tc>
        <w:tc>
          <w:tcPr>
            <w:tcW w:w="1559" w:type="dxa"/>
            <w:shd w:val="clear" w:color="auto" w:fill="auto"/>
          </w:tcPr>
          <w:p w:rsidR="002167B1" w:rsidRPr="003376A9" w:rsidRDefault="002167B1" w:rsidP="00110492">
            <w:pPr>
              <w:jc w:val="center"/>
              <w:rPr>
                <w:sz w:val="22"/>
                <w:szCs w:val="22"/>
              </w:rPr>
            </w:pPr>
            <w:r w:rsidRPr="003376A9">
              <w:rPr>
                <w:sz w:val="22"/>
                <w:szCs w:val="22"/>
              </w:rPr>
              <w:t>от 1200 мл до 1900мл</w:t>
            </w:r>
          </w:p>
        </w:tc>
        <w:tc>
          <w:tcPr>
            <w:tcW w:w="2126" w:type="dxa"/>
            <w:vMerge/>
          </w:tcPr>
          <w:p w:rsidR="002167B1" w:rsidRPr="003376A9" w:rsidRDefault="002167B1" w:rsidP="00110492">
            <w:pPr>
              <w:pStyle w:val="a6"/>
              <w:widowControl w:val="0"/>
              <w:snapToGrid w:val="0"/>
              <w:jc w:val="center"/>
              <w:rPr>
                <w:sz w:val="22"/>
                <w:szCs w:val="22"/>
              </w:rPr>
            </w:pP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widowControl w:val="0"/>
              <w:suppressAutoHyphens/>
              <w:rPr>
                <w:rFonts w:eastAsia="Arial Unicode MS"/>
                <w:sz w:val="22"/>
                <w:szCs w:val="22"/>
              </w:rPr>
            </w:pPr>
          </w:p>
        </w:tc>
        <w:tc>
          <w:tcPr>
            <w:tcW w:w="2381" w:type="dxa"/>
            <w:shd w:val="clear" w:color="auto" w:fill="auto"/>
          </w:tcPr>
          <w:p w:rsidR="002167B1" w:rsidRPr="003376A9" w:rsidRDefault="002167B1" w:rsidP="00110492">
            <w:pPr>
              <w:jc w:val="center"/>
              <w:rPr>
                <w:sz w:val="22"/>
                <w:szCs w:val="22"/>
              </w:rPr>
            </w:pPr>
            <w:r w:rsidRPr="003376A9">
              <w:rPr>
                <w:sz w:val="22"/>
                <w:szCs w:val="22"/>
              </w:rPr>
              <w:t xml:space="preserve">Впитывающий слой   </w:t>
            </w:r>
          </w:p>
        </w:tc>
        <w:tc>
          <w:tcPr>
            <w:tcW w:w="1559" w:type="dxa"/>
            <w:shd w:val="clear" w:color="auto" w:fill="auto"/>
          </w:tcPr>
          <w:p w:rsidR="002167B1" w:rsidRPr="003376A9" w:rsidRDefault="002167B1" w:rsidP="00110492">
            <w:pPr>
              <w:jc w:val="center"/>
              <w:rPr>
                <w:sz w:val="22"/>
                <w:szCs w:val="22"/>
              </w:rPr>
            </w:pPr>
            <w:r w:rsidRPr="003376A9">
              <w:rPr>
                <w:sz w:val="22"/>
                <w:szCs w:val="22"/>
              </w:rPr>
              <w:t>наличие</w:t>
            </w:r>
          </w:p>
        </w:tc>
        <w:tc>
          <w:tcPr>
            <w:tcW w:w="2126" w:type="dxa"/>
            <w:vMerge w:val="restart"/>
          </w:tcPr>
          <w:p w:rsidR="002167B1" w:rsidRPr="003376A9" w:rsidRDefault="002167B1" w:rsidP="00110492">
            <w:pPr>
              <w:pStyle w:val="a6"/>
              <w:widowControl w:val="0"/>
              <w:snapToGrid w:val="0"/>
              <w:jc w:val="center"/>
              <w:rPr>
                <w:sz w:val="22"/>
                <w:szCs w:val="22"/>
              </w:rPr>
            </w:pPr>
            <w:r w:rsidRPr="003376A9">
              <w:rPr>
                <w:sz w:val="22"/>
                <w:szCs w:val="22"/>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widowControl w:val="0"/>
              <w:suppressAutoHyphens/>
              <w:rPr>
                <w:rFonts w:eastAsia="Arial Unicode MS"/>
                <w:sz w:val="22"/>
                <w:szCs w:val="22"/>
              </w:rPr>
            </w:pPr>
          </w:p>
        </w:tc>
        <w:tc>
          <w:tcPr>
            <w:tcW w:w="2381" w:type="dxa"/>
            <w:shd w:val="clear" w:color="auto" w:fill="auto"/>
          </w:tcPr>
          <w:p w:rsidR="002167B1" w:rsidRPr="003376A9" w:rsidRDefault="002167B1" w:rsidP="00110492">
            <w:pPr>
              <w:jc w:val="center"/>
              <w:rPr>
                <w:sz w:val="22"/>
                <w:szCs w:val="22"/>
              </w:rPr>
            </w:pPr>
            <w:r w:rsidRPr="003376A9">
              <w:rPr>
                <w:sz w:val="22"/>
                <w:szCs w:val="22"/>
              </w:rPr>
              <w:t xml:space="preserve">Нижний слой - не пропускающий влагу, не скользящий </w:t>
            </w:r>
          </w:p>
        </w:tc>
        <w:tc>
          <w:tcPr>
            <w:tcW w:w="1559" w:type="dxa"/>
            <w:shd w:val="clear" w:color="auto" w:fill="auto"/>
          </w:tcPr>
          <w:p w:rsidR="002167B1" w:rsidRPr="003376A9" w:rsidRDefault="002167B1" w:rsidP="00110492">
            <w:pPr>
              <w:jc w:val="center"/>
              <w:rPr>
                <w:sz w:val="22"/>
                <w:szCs w:val="22"/>
              </w:rPr>
            </w:pPr>
            <w:r w:rsidRPr="003376A9">
              <w:rPr>
                <w:sz w:val="22"/>
                <w:szCs w:val="22"/>
              </w:rPr>
              <w:t>наличие</w:t>
            </w:r>
          </w:p>
        </w:tc>
        <w:tc>
          <w:tcPr>
            <w:tcW w:w="2126" w:type="dxa"/>
            <w:vMerge/>
          </w:tcPr>
          <w:p w:rsidR="002167B1" w:rsidRPr="003376A9" w:rsidRDefault="002167B1" w:rsidP="00110492">
            <w:pPr>
              <w:pStyle w:val="a6"/>
              <w:widowControl w:val="0"/>
              <w:snapToGrid w:val="0"/>
              <w:jc w:val="center"/>
              <w:rPr>
                <w:sz w:val="22"/>
                <w:szCs w:val="22"/>
              </w:rPr>
            </w:pP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widowControl w:val="0"/>
              <w:suppressAutoHyphens/>
              <w:rPr>
                <w:rFonts w:eastAsia="Arial Unicode MS"/>
                <w:sz w:val="22"/>
                <w:szCs w:val="22"/>
              </w:rPr>
            </w:pPr>
          </w:p>
        </w:tc>
        <w:tc>
          <w:tcPr>
            <w:tcW w:w="2381" w:type="dxa"/>
            <w:shd w:val="clear" w:color="auto" w:fill="auto"/>
          </w:tcPr>
          <w:p w:rsidR="002167B1" w:rsidRPr="003376A9" w:rsidRDefault="002167B1" w:rsidP="00110492">
            <w:pPr>
              <w:jc w:val="center"/>
              <w:rPr>
                <w:sz w:val="22"/>
                <w:szCs w:val="22"/>
              </w:rPr>
            </w:pPr>
            <w:r w:rsidRPr="003376A9">
              <w:rPr>
                <w:sz w:val="22"/>
                <w:szCs w:val="22"/>
              </w:rPr>
              <w:t xml:space="preserve">Верхний слой из мягкого не раздражающего кожу </w:t>
            </w:r>
            <w:r w:rsidRPr="003376A9">
              <w:rPr>
                <w:sz w:val="22"/>
                <w:szCs w:val="22"/>
              </w:rPr>
              <w:lastRenderedPageBreak/>
              <w:t>материала</w:t>
            </w:r>
          </w:p>
        </w:tc>
        <w:tc>
          <w:tcPr>
            <w:tcW w:w="1559" w:type="dxa"/>
            <w:shd w:val="clear" w:color="auto" w:fill="auto"/>
          </w:tcPr>
          <w:p w:rsidR="002167B1" w:rsidRPr="003376A9" w:rsidRDefault="002167B1" w:rsidP="00110492">
            <w:pPr>
              <w:jc w:val="center"/>
              <w:rPr>
                <w:sz w:val="22"/>
                <w:szCs w:val="22"/>
              </w:rPr>
            </w:pPr>
            <w:r w:rsidRPr="003376A9">
              <w:rPr>
                <w:sz w:val="22"/>
                <w:szCs w:val="22"/>
              </w:rPr>
              <w:lastRenderedPageBreak/>
              <w:t>наличие</w:t>
            </w:r>
          </w:p>
        </w:tc>
        <w:tc>
          <w:tcPr>
            <w:tcW w:w="2126" w:type="dxa"/>
          </w:tcPr>
          <w:p w:rsidR="002167B1" w:rsidRPr="003376A9" w:rsidRDefault="002167B1" w:rsidP="00110492">
            <w:pPr>
              <w:pStyle w:val="a6"/>
              <w:widowControl w:val="0"/>
              <w:snapToGrid w:val="0"/>
              <w:jc w:val="center"/>
              <w:rPr>
                <w:sz w:val="22"/>
                <w:szCs w:val="22"/>
              </w:rPr>
            </w:pPr>
            <w:r w:rsidRPr="003376A9">
              <w:rPr>
                <w:sz w:val="22"/>
                <w:szCs w:val="22"/>
              </w:rPr>
              <w:t>Методические рекомендации, ГОСТ ISO 10993-</w:t>
            </w:r>
            <w:r w:rsidRPr="003376A9">
              <w:rPr>
                <w:sz w:val="22"/>
                <w:szCs w:val="22"/>
              </w:rPr>
              <w:lastRenderedPageBreak/>
              <w:t>10-2011</w:t>
            </w: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val="restart"/>
            <w:shd w:val="clear" w:color="auto" w:fill="auto"/>
          </w:tcPr>
          <w:p w:rsidR="002167B1" w:rsidRPr="003376A9" w:rsidRDefault="002167B1" w:rsidP="00110492">
            <w:pPr>
              <w:pStyle w:val="a6"/>
              <w:widowControl w:val="0"/>
              <w:snapToGrid w:val="0"/>
              <w:jc w:val="both"/>
              <w:rPr>
                <w:sz w:val="22"/>
                <w:szCs w:val="22"/>
              </w:rPr>
            </w:pPr>
            <w:r w:rsidRPr="003376A9">
              <w:rPr>
                <w:sz w:val="22"/>
                <w:szCs w:val="22"/>
              </w:rPr>
              <w:lastRenderedPageBreak/>
              <w:t>2.</w:t>
            </w:r>
          </w:p>
        </w:tc>
        <w:tc>
          <w:tcPr>
            <w:tcW w:w="1843" w:type="dxa"/>
            <w:vMerge w:val="restart"/>
            <w:shd w:val="clear" w:color="auto" w:fill="auto"/>
          </w:tcPr>
          <w:p w:rsidR="002167B1" w:rsidRPr="003376A9" w:rsidRDefault="002167B1" w:rsidP="00110492">
            <w:pPr>
              <w:snapToGrid w:val="0"/>
              <w:rPr>
                <w:rFonts w:eastAsia="Arial Unicode MS"/>
                <w:sz w:val="22"/>
                <w:szCs w:val="22"/>
              </w:rPr>
            </w:pPr>
            <w:r w:rsidRPr="003376A9">
              <w:rPr>
                <w:sz w:val="22"/>
                <w:szCs w:val="22"/>
              </w:rPr>
              <w:t xml:space="preserve">Впитывающие простыни (пеленки) </w:t>
            </w:r>
          </w:p>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snapToGrid w:val="0"/>
              <w:jc w:val="center"/>
              <w:rPr>
                <w:sz w:val="22"/>
                <w:szCs w:val="22"/>
              </w:rPr>
            </w:pPr>
            <w:r w:rsidRPr="003376A9">
              <w:rPr>
                <w:sz w:val="22"/>
                <w:szCs w:val="22"/>
              </w:rPr>
              <w:t>Размер</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 xml:space="preserve">не менее </w:t>
            </w:r>
          </w:p>
          <w:p w:rsidR="002167B1" w:rsidRPr="003376A9" w:rsidRDefault="002167B1" w:rsidP="00110492">
            <w:pPr>
              <w:snapToGrid w:val="0"/>
              <w:jc w:val="center"/>
              <w:rPr>
                <w:sz w:val="22"/>
                <w:szCs w:val="22"/>
              </w:rPr>
            </w:pPr>
            <w:smartTag w:uri="urn:schemas-microsoft-com:office:smarttags" w:element="metricconverter">
              <w:smartTagPr>
                <w:attr w:name="ProductID" w:val="60 см"/>
              </w:smartTagPr>
              <w:r w:rsidRPr="003376A9">
                <w:rPr>
                  <w:sz w:val="22"/>
                  <w:szCs w:val="22"/>
                </w:rPr>
                <w:t>60 см</w:t>
              </w:r>
            </w:smartTag>
            <w:r w:rsidRPr="003376A9">
              <w:rPr>
                <w:sz w:val="22"/>
                <w:szCs w:val="22"/>
              </w:rPr>
              <w:t xml:space="preserve"> х </w:t>
            </w:r>
            <w:smartTag w:uri="urn:schemas-microsoft-com:office:smarttags" w:element="metricconverter">
              <w:smartTagPr>
                <w:attr w:name="ProductID" w:val="60 см"/>
              </w:smartTagPr>
              <w:r w:rsidRPr="003376A9">
                <w:rPr>
                  <w:sz w:val="22"/>
                  <w:szCs w:val="22"/>
                </w:rPr>
                <w:t>60 см</w:t>
              </w:r>
            </w:smartTag>
          </w:p>
        </w:tc>
        <w:tc>
          <w:tcPr>
            <w:tcW w:w="2126" w:type="dxa"/>
            <w:vMerge w:val="restart"/>
          </w:tcPr>
          <w:p w:rsidR="002167B1" w:rsidRPr="003376A9" w:rsidRDefault="002167B1" w:rsidP="00110492">
            <w:pPr>
              <w:pStyle w:val="a6"/>
              <w:widowControl w:val="0"/>
              <w:snapToGrid w:val="0"/>
              <w:jc w:val="center"/>
              <w:rPr>
                <w:sz w:val="22"/>
                <w:szCs w:val="22"/>
              </w:rPr>
            </w:pPr>
            <w:r w:rsidRPr="003376A9">
              <w:rPr>
                <w:sz w:val="22"/>
                <w:szCs w:val="22"/>
              </w:rPr>
              <w:t>Приказ Министерства труда и социальной защиты РФ от 24.05.2013г. №214н</w:t>
            </w:r>
          </w:p>
        </w:tc>
        <w:tc>
          <w:tcPr>
            <w:tcW w:w="1418" w:type="dxa"/>
            <w:vMerge w:val="restart"/>
            <w:shd w:val="clear" w:color="auto" w:fill="auto"/>
          </w:tcPr>
          <w:p w:rsidR="002167B1" w:rsidRPr="003376A9" w:rsidRDefault="002167B1" w:rsidP="00110492">
            <w:pPr>
              <w:pStyle w:val="a6"/>
              <w:widowControl w:val="0"/>
              <w:snapToGrid w:val="0"/>
              <w:jc w:val="both"/>
              <w:rPr>
                <w:sz w:val="22"/>
                <w:szCs w:val="22"/>
              </w:rPr>
            </w:pPr>
            <w:r>
              <w:rPr>
                <w:sz w:val="22"/>
                <w:szCs w:val="22"/>
              </w:rPr>
              <w:t>15 000</w:t>
            </w: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snapToGrid w:val="0"/>
              <w:jc w:val="center"/>
              <w:rPr>
                <w:sz w:val="22"/>
                <w:szCs w:val="22"/>
              </w:rPr>
            </w:pPr>
            <w:r w:rsidRPr="003376A9">
              <w:rPr>
                <w:sz w:val="22"/>
                <w:szCs w:val="22"/>
              </w:rPr>
              <w:t>Общая впитывающая способность каждого из Изделий</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от 800 мл до 1200мл</w:t>
            </w:r>
          </w:p>
        </w:tc>
        <w:tc>
          <w:tcPr>
            <w:tcW w:w="2126" w:type="dxa"/>
            <w:vMerge/>
          </w:tcPr>
          <w:p w:rsidR="002167B1" w:rsidRPr="003376A9" w:rsidRDefault="002167B1" w:rsidP="00110492">
            <w:pPr>
              <w:pStyle w:val="a6"/>
              <w:widowControl w:val="0"/>
              <w:snapToGrid w:val="0"/>
              <w:jc w:val="center"/>
              <w:rPr>
                <w:sz w:val="22"/>
                <w:szCs w:val="22"/>
              </w:rPr>
            </w:pP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snapToGrid w:val="0"/>
              <w:jc w:val="center"/>
              <w:rPr>
                <w:sz w:val="22"/>
                <w:szCs w:val="22"/>
              </w:rPr>
            </w:pPr>
            <w:r w:rsidRPr="003376A9">
              <w:rPr>
                <w:sz w:val="22"/>
                <w:szCs w:val="22"/>
              </w:rPr>
              <w:t xml:space="preserve">Впитывающий слой   </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наличие</w:t>
            </w:r>
          </w:p>
        </w:tc>
        <w:tc>
          <w:tcPr>
            <w:tcW w:w="2126" w:type="dxa"/>
            <w:vMerge w:val="restart"/>
          </w:tcPr>
          <w:p w:rsidR="002167B1" w:rsidRPr="003376A9" w:rsidRDefault="002167B1" w:rsidP="00110492">
            <w:pPr>
              <w:pStyle w:val="a6"/>
              <w:widowControl w:val="0"/>
              <w:snapToGrid w:val="0"/>
              <w:jc w:val="center"/>
              <w:rPr>
                <w:sz w:val="22"/>
                <w:szCs w:val="22"/>
              </w:rPr>
            </w:pPr>
            <w:r w:rsidRPr="003376A9">
              <w:rPr>
                <w:sz w:val="22"/>
                <w:szCs w:val="22"/>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jc w:val="center"/>
              <w:rPr>
                <w:sz w:val="22"/>
                <w:szCs w:val="22"/>
              </w:rPr>
            </w:pPr>
            <w:r w:rsidRPr="003376A9">
              <w:rPr>
                <w:sz w:val="22"/>
                <w:szCs w:val="22"/>
              </w:rPr>
              <w:t xml:space="preserve">Нижний слой - не пропускающий влагу, не скользящий </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наличие</w:t>
            </w:r>
          </w:p>
        </w:tc>
        <w:tc>
          <w:tcPr>
            <w:tcW w:w="2126" w:type="dxa"/>
            <w:vMerge/>
          </w:tcPr>
          <w:p w:rsidR="002167B1" w:rsidRPr="003376A9" w:rsidRDefault="002167B1" w:rsidP="00110492">
            <w:pPr>
              <w:pStyle w:val="a6"/>
              <w:widowControl w:val="0"/>
              <w:snapToGrid w:val="0"/>
              <w:jc w:val="center"/>
              <w:rPr>
                <w:sz w:val="22"/>
                <w:szCs w:val="22"/>
              </w:rPr>
            </w:pP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jc w:val="center"/>
              <w:rPr>
                <w:sz w:val="22"/>
                <w:szCs w:val="22"/>
              </w:rPr>
            </w:pPr>
            <w:r w:rsidRPr="003376A9">
              <w:rPr>
                <w:sz w:val="22"/>
                <w:szCs w:val="22"/>
              </w:rPr>
              <w:t>Верхний слой из мягкого не раздражающего кожу материала</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наличие</w:t>
            </w:r>
          </w:p>
        </w:tc>
        <w:tc>
          <w:tcPr>
            <w:tcW w:w="2126" w:type="dxa"/>
          </w:tcPr>
          <w:p w:rsidR="002167B1" w:rsidRPr="003376A9" w:rsidRDefault="002167B1" w:rsidP="00110492">
            <w:pPr>
              <w:pStyle w:val="a6"/>
              <w:widowControl w:val="0"/>
              <w:snapToGrid w:val="0"/>
              <w:jc w:val="center"/>
              <w:rPr>
                <w:sz w:val="22"/>
                <w:szCs w:val="22"/>
              </w:rPr>
            </w:pPr>
            <w:r w:rsidRPr="003376A9">
              <w:rPr>
                <w:sz w:val="22"/>
                <w:szCs w:val="22"/>
              </w:rPr>
              <w:t>Методические рекомендации, ГОСТ ISO 10993-10-2011</w:t>
            </w: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val="restart"/>
            <w:shd w:val="clear" w:color="auto" w:fill="auto"/>
          </w:tcPr>
          <w:p w:rsidR="002167B1" w:rsidRPr="003376A9" w:rsidRDefault="002167B1" w:rsidP="00110492">
            <w:pPr>
              <w:pStyle w:val="a6"/>
              <w:widowControl w:val="0"/>
              <w:snapToGrid w:val="0"/>
              <w:jc w:val="both"/>
              <w:rPr>
                <w:sz w:val="22"/>
                <w:szCs w:val="22"/>
              </w:rPr>
            </w:pPr>
            <w:r w:rsidRPr="003376A9">
              <w:rPr>
                <w:sz w:val="22"/>
                <w:szCs w:val="22"/>
              </w:rPr>
              <w:t>3.</w:t>
            </w:r>
          </w:p>
        </w:tc>
        <w:tc>
          <w:tcPr>
            <w:tcW w:w="1843" w:type="dxa"/>
            <w:vMerge w:val="restart"/>
            <w:shd w:val="clear" w:color="auto" w:fill="auto"/>
          </w:tcPr>
          <w:p w:rsidR="002167B1" w:rsidRPr="003376A9" w:rsidRDefault="002167B1" w:rsidP="00110492">
            <w:pPr>
              <w:snapToGrid w:val="0"/>
              <w:rPr>
                <w:rFonts w:eastAsia="Arial Unicode MS"/>
                <w:sz w:val="22"/>
                <w:szCs w:val="22"/>
              </w:rPr>
            </w:pPr>
            <w:r w:rsidRPr="003376A9">
              <w:rPr>
                <w:sz w:val="22"/>
                <w:szCs w:val="22"/>
              </w:rPr>
              <w:t xml:space="preserve">Впитывающие простыни (пеленки) </w:t>
            </w:r>
          </w:p>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snapToGrid w:val="0"/>
              <w:jc w:val="center"/>
              <w:rPr>
                <w:sz w:val="22"/>
                <w:szCs w:val="22"/>
              </w:rPr>
            </w:pPr>
            <w:r w:rsidRPr="003376A9">
              <w:rPr>
                <w:sz w:val="22"/>
                <w:szCs w:val="22"/>
              </w:rPr>
              <w:t>Размер</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 xml:space="preserve">не менее </w:t>
            </w:r>
          </w:p>
          <w:p w:rsidR="002167B1" w:rsidRPr="003376A9" w:rsidRDefault="002167B1" w:rsidP="00110492">
            <w:pPr>
              <w:snapToGrid w:val="0"/>
              <w:jc w:val="center"/>
              <w:rPr>
                <w:sz w:val="22"/>
                <w:szCs w:val="22"/>
              </w:rPr>
            </w:pPr>
            <w:smartTag w:uri="urn:schemas-microsoft-com:office:smarttags" w:element="metricconverter">
              <w:smartTagPr>
                <w:attr w:name="ProductID" w:val="40 см"/>
              </w:smartTagPr>
              <w:r w:rsidRPr="003376A9">
                <w:rPr>
                  <w:sz w:val="22"/>
                  <w:szCs w:val="22"/>
                </w:rPr>
                <w:t>40 см</w:t>
              </w:r>
            </w:smartTag>
            <w:r w:rsidRPr="003376A9">
              <w:rPr>
                <w:sz w:val="22"/>
                <w:szCs w:val="22"/>
              </w:rPr>
              <w:t xml:space="preserve"> х </w:t>
            </w:r>
            <w:smartTag w:uri="urn:schemas-microsoft-com:office:smarttags" w:element="metricconverter">
              <w:smartTagPr>
                <w:attr w:name="ProductID" w:val="60 см"/>
              </w:smartTagPr>
              <w:r w:rsidRPr="003376A9">
                <w:rPr>
                  <w:sz w:val="22"/>
                  <w:szCs w:val="22"/>
                </w:rPr>
                <w:t>60 см</w:t>
              </w:r>
            </w:smartTag>
          </w:p>
        </w:tc>
        <w:tc>
          <w:tcPr>
            <w:tcW w:w="2126" w:type="dxa"/>
            <w:vMerge w:val="restart"/>
          </w:tcPr>
          <w:p w:rsidR="002167B1" w:rsidRPr="003376A9" w:rsidRDefault="002167B1" w:rsidP="00110492">
            <w:pPr>
              <w:pStyle w:val="a6"/>
              <w:widowControl w:val="0"/>
              <w:snapToGrid w:val="0"/>
              <w:jc w:val="center"/>
              <w:rPr>
                <w:sz w:val="22"/>
                <w:szCs w:val="22"/>
              </w:rPr>
            </w:pPr>
            <w:r w:rsidRPr="003376A9">
              <w:rPr>
                <w:sz w:val="22"/>
                <w:szCs w:val="22"/>
              </w:rPr>
              <w:t>Приказ Министерства труда и социальной защиты РФ от 24.05.2013г. №214н</w:t>
            </w:r>
          </w:p>
        </w:tc>
        <w:tc>
          <w:tcPr>
            <w:tcW w:w="1418" w:type="dxa"/>
            <w:vMerge w:val="restart"/>
            <w:shd w:val="clear" w:color="auto" w:fill="auto"/>
          </w:tcPr>
          <w:p w:rsidR="002167B1" w:rsidRPr="003376A9" w:rsidRDefault="002167B1" w:rsidP="00110492">
            <w:pPr>
              <w:pStyle w:val="a6"/>
              <w:widowControl w:val="0"/>
              <w:snapToGrid w:val="0"/>
              <w:jc w:val="both"/>
              <w:rPr>
                <w:sz w:val="22"/>
                <w:szCs w:val="22"/>
              </w:rPr>
            </w:pPr>
            <w:r>
              <w:rPr>
                <w:sz w:val="22"/>
                <w:szCs w:val="22"/>
              </w:rPr>
              <w:t>10 000</w:t>
            </w: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snapToGrid w:val="0"/>
              <w:jc w:val="center"/>
              <w:rPr>
                <w:sz w:val="22"/>
                <w:szCs w:val="22"/>
              </w:rPr>
            </w:pPr>
            <w:r w:rsidRPr="003376A9">
              <w:rPr>
                <w:sz w:val="22"/>
                <w:szCs w:val="22"/>
              </w:rPr>
              <w:t>Общая впитывающая способность каждого из Изделий</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от 400 мл до 500мл</w:t>
            </w:r>
          </w:p>
        </w:tc>
        <w:tc>
          <w:tcPr>
            <w:tcW w:w="2126" w:type="dxa"/>
            <w:vMerge/>
          </w:tcPr>
          <w:p w:rsidR="002167B1" w:rsidRPr="003376A9" w:rsidRDefault="002167B1" w:rsidP="00110492">
            <w:pPr>
              <w:pStyle w:val="a6"/>
              <w:widowControl w:val="0"/>
              <w:snapToGrid w:val="0"/>
              <w:jc w:val="center"/>
              <w:rPr>
                <w:sz w:val="22"/>
                <w:szCs w:val="22"/>
              </w:rPr>
            </w:pP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snapToGrid w:val="0"/>
              <w:jc w:val="center"/>
              <w:rPr>
                <w:sz w:val="22"/>
                <w:szCs w:val="22"/>
              </w:rPr>
            </w:pPr>
            <w:r w:rsidRPr="003376A9">
              <w:rPr>
                <w:sz w:val="22"/>
                <w:szCs w:val="22"/>
              </w:rPr>
              <w:t xml:space="preserve">Впитывающий слой   </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наличие</w:t>
            </w:r>
          </w:p>
        </w:tc>
        <w:tc>
          <w:tcPr>
            <w:tcW w:w="2126" w:type="dxa"/>
            <w:vMerge w:val="restart"/>
          </w:tcPr>
          <w:p w:rsidR="002167B1" w:rsidRPr="003376A9" w:rsidRDefault="002167B1" w:rsidP="00110492">
            <w:pPr>
              <w:pStyle w:val="a6"/>
              <w:widowControl w:val="0"/>
              <w:snapToGrid w:val="0"/>
              <w:jc w:val="center"/>
              <w:rPr>
                <w:sz w:val="22"/>
                <w:szCs w:val="22"/>
              </w:rPr>
            </w:pPr>
            <w:r w:rsidRPr="003376A9">
              <w:rPr>
                <w:sz w:val="22"/>
                <w:szCs w:val="22"/>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jc w:val="center"/>
              <w:rPr>
                <w:sz w:val="22"/>
                <w:szCs w:val="22"/>
              </w:rPr>
            </w:pPr>
            <w:r w:rsidRPr="003376A9">
              <w:rPr>
                <w:sz w:val="22"/>
                <w:szCs w:val="22"/>
              </w:rPr>
              <w:t xml:space="preserve">Нижний слой - не пропускающий влагу, не скользящий </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наличие</w:t>
            </w:r>
          </w:p>
        </w:tc>
        <w:tc>
          <w:tcPr>
            <w:tcW w:w="2126" w:type="dxa"/>
            <w:vMerge/>
          </w:tcPr>
          <w:p w:rsidR="002167B1" w:rsidRPr="003376A9" w:rsidRDefault="002167B1" w:rsidP="00110492">
            <w:pPr>
              <w:pStyle w:val="a6"/>
              <w:widowControl w:val="0"/>
              <w:snapToGrid w:val="0"/>
              <w:jc w:val="center"/>
              <w:rPr>
                <w:sz w:val="22"/>
                <w:szCs w:val="22"/>
              </w:rPr>
            </w:pP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3376A9" w:rsidTr="00110492">
        <w:trPr>
          <w:trHeight w:val="487"/>
        </w:trPr>
        <w:tc>
          <w:tcPr>
            <w:tcW w:w="596" w:type="dxa"/>
            <w:vMerge/>
            <w:shd w:val="clear" w:color="auto" w:fill="auto"/>
          </w:tcPr>
          <w:p w:rsidR="002167B1" w:rsidRPr="003376A9" w:rsidRDefault="002167B1" w:rsidP="00110492">
            <w:pPr>
              <w:pStyle w:val="a6"/>
              <w:widowControl w:val="0"/>
              <w:snapToGrid w:val="0"/>
              <w:jc w:val="both"/>
              <w:rPr>
                <w:sz w:val="22"/>
                <w:szCs w:val="22"/>
              </w:rPr>
            </w:pPr>
          </w:p>
        </w:tc>
        <w:tc>
          <w:tcPr>
            <w:tcW w:w="1843" w:type="dxa"/>
            <w:vMerge/>
            <w:shd w:val="clear" w:color="auto" w:fill="auto"/>
          </w:tcPr>
          <w:p w:rsidR="002167B1" w:rsidRPr="003376A9" w:rsidRDefault="002167B1" w:rsidP="00110492">
            <w:pPr>
              <w:rPr>
                <w:rFonts w:eastAsia="Arial Unicode MS"/>
                <w:sz w:val="22"/>
                <w:szCs w:val="22"/>
              </w:rPr>
            </w:pPr>
          </w:p>
        </w:tc>
        <w:tc>
          <w:tcPr>
            <w:tcW w:w="2381" w:type="dxa"/>
            <w:shd w:val="clear" w:color="auto" w:fill="auto"/>
          </w:tcPr>
          <w:p w:rsidR="002167B1" w:rsidRPr="003376A9" w:rsidRDefault="002167B1" w:rsidP="00110492">
            <w:pPr>
              <w:jc w:val="center"/>
              <w:rPr>
                <w:sz w:val="22"/>
                <w:szCs w:val="22"/>
              </w:rPr>
            </w:pPr>
            <w:r w:rsidRPr="003376A9">
              <w:rPr>
                <w:sz w:val="22"/>
                <w:szCs w:val="22"/>
              </w:rPr>
              <w:t>Верхний слой из мягкого не раздражающего кожу материала</w:t>
            </w:r>
          </w:p>
        </w:tc>
        <w:tc>
          <w:tcPr>
            <w:tcW w:w="1559" w:type="dxa"/>
            <w:shd w:val="clear" w:color="auto" w:fill="auto"/>
          </w:tcPr>
          <w:p w:rsidR="002167B1" w:rsidRPr="003376A9" w:rsidRDefault="002167B1" w:rsidP="00110492">
            <w:pPr>
              <w:snapToGrid w:val="0"/>
              <w:jc w:val="center"/>
              <w:rPr>
                <w:sz w:val="22"/>
                <w:szCs w:val="22"/>
              </w:rPr>
            </w:pPr>
            <w:r w:rsidRPr="003376A9">
              <w:rPr>
                <w:sz w:val="22"/>
                <w:szCs w:val="22"/>
              </w:rPr>
              <w:t>наличие</w:t>
            </w:r>
          </w:p>
        </w:tc>
        <w:tc>
          <w:tcPr>
            <w:tcW w:w="2126" w:type="dxa"/>
          </w:tcPr>
          <w:p w:rsidR="002167B1" w:rsidRPr="003376A9" w:rsidRDefault="002167B1" w:rsidP="00110492">
            <w:pPr>
              <w:pStyle w:val="a6"/>
              <w:widowControl w:val="0"/>
              <w:snapToGrid w:val="0"/>
              <w:jc w:val="center"/>
              <w:rPr>
                <w:sz w:val="22"/>
                <w:szCs w:val="22"/>
              </w:rPr>
            </w:pPr>
            <w:r w:rsidRPr="003376A9">
              <w:rPr>
                <w:sz w:val="22"/>
                <w:szCs w:val="22"/>
              </w:rPr>
              <w:t>Методические рекомендации, ГОСТ ISO 10993-10-2011</w:t>
            </w:r>
          </w:p>
        </w:tc>
        <w:tc>
          <w:tcPr>
            <w:tcW w:w="1418" w:type="dxa"/>
            <w:vMerge/>
            <w:shd w:val="clear" w:color="auto" w:fill="auto"/>
          </w:tcPr>
          <w:p w:rsidR="002167B1" w:rsidRPr="003376A9" w:rsidRDefault="002167B1" w:rsidP="00110492">
            <w:pPr>
              <w:pStyle w:val="a6"/>
              <w:widowControl w:val="0"/>
              <w:snapToGrid w:val="0"/>
              <w:jc w:val="both"/>
              <w:rPr>
                <w:sz w:val="22"/>
                <w:szCs w:val="22"/>
              </w:rPr>
            </w:pPr>
          </w:p>
        </w:tc>
      </w:tr>
      <w:tr w:rsidR="002167B1" w:rsidRPr="0071640D" w:rsidTr="00110492">
        <w:trPr>
          <w:trHeight w:val="487"/>
        </w:trPr>
        <w:tc>
          <w:tcPr>
            <w:tcW w:w="8505" w:type="dxa"/>
            <w:gridSpan w:val="5"/>
            <w:shd w:val="clear" w:color="auto" w:fill="auto"/>
          </w:tcPr>
          <w:p w:rsidR="002167B1" w:rsidRPr="0071640D" w:rsidRDefault="002167B1" w:rsidP="00110492">
            <w:pPr>
              <w:pStyle w:val="a6"/>
              <w:widowControl w:val="0"/>
              <w:snapToGrid w:val="0"/>
              <w:rPr>
                <w:sz w:val="28"/>
                <w:szCs w:val="28"/>
              </w:rPr>
            </w:pPr>
            <w:r w:rsidRPr="0071640D">
              <w:rPr>
                <w:sz w:val="28"/>
                <w:szCs w:val="28"/>
              </w:rPr>
              <w:t>Итого:</w:t>
            </w:r>
          </w:p>
        </w:tc>
        <w:tc>
          <w:tcPr>
            <w:tcW w:w="1418" w:type="dxa"/>
            <w:shd w:val="clear" w:color="auto" w:fill="auto"/>
          </w:tcPr>
          <w:p w:rsidR="002167B1" w:rsidRPr="0071640D" w:rsidRDefault="002167B1" w:rsidP="00110492">
            <w:pPr>
              <w:pStyle w:val="a6"/>
              <w:widowControl w:val="0"/>
              <w:snapToGrid w:val="0"/>
              <w:jc w:val="both"/>
              <w:rPr>
                <w:sz w:val="28"/>
                <w:szCs w:val="28"/>
              </w:rPr>
            </w:pPr>
            <w:r w:rsidRPr="0071640D">
              <w:rPr>
                <w:sz w:val="28"/>
                <w:szCs w:val="28"/>
              </w:rPr>
              <w:t>500 000</w:t>
            </w:r>
          </w:p>
        </w:tc>
      </w:tr>
    </w:tbl>
    <w:p w:rsidR="002167B1" w:rsidRDefault="002167B1" w:rsidP="002167B1">
      <w:pPr>
        <w:jc w:val="both"/>
      </w:pPr>
    </w:p>
    <w:p w:rsidR="002167B1" w:rsidRDefault="002167B1" w:rsidP="002167B1">
      <w:pPr>
        <w:jc w:val="both"/>
        <w:rPr>
          <w:b/>
          <w:lang w:eastAsia="ar-SA"/>
        </w:rPr>
      </w:pPr>
      <w:r>
        <w:rPr>
          <w:b/>
          <w:lang w:eastAsia="ar-SA"/>
        </w:rPr>
        <w:t>2</w:t>
      </w:r>
      <w:r w:rsidRPr="00612097">
        <w:rPr>
          <w:b/>
          <w:lang w:eastAsia="ar-SA"/>
        </w:rPr>
        <w:t>. Поставщик обязан:</w:t>
      </w:r>
    </w:p>
    <w:p w:rsidR="002167B1" w:rsidRPr="008B611F" w:rsidRDefault="002167B1" w:rsidP="002167B1">
      <w:pPr>
        <w:jc w:val="both"/>
      </w:pPr>
      <w:r w:rsidRPr="00732037">
        <w:t xml:space="preserve">2.1. </w:t>
      </w:r>
      <w:r w:rsidRPr="008B611F">
        <w:t xml:space="preserve">Поставить </w:t>
      </w:r>
      <w:r w:rsidRPr="005C28EF">
        <w:t>впитывающие простыни (пеленки)</w:t>
      </w:r>
      <w:r w:rsidRPr="008B611F">
        <w:rPr>
          <w:bCs/>
        </w:rPr>
        <w:t xml:space="preserve"> </w:t>
      </w:r>
      <w:r w:rsidRPr="008B611F">
        <w:t xml:space="preserve">(далее - Изделия) для 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w:t>
      </w:r>
      <w:r w:rsidRPr="008B611F">
        <w:lastRenderedPageBreak/>
        <w:t xml:space="preserve">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2167B1" w:rsidRDefault="002167B1" w:rsidP="002167B1">
      <w:pPr>
        <w:jc w:val="both"/>
        <w:rPr>
          <w:rFonts w:ascii="Times New Roman CYR" w:hAnsi="Times New Roman CYR" w:cs="Times New Roman CYR"/>
        </w:rPr>
      </w:pPr>
      <w:r>
        <w:rPr>
          <w:rFonts w:ascii="Times New Roman CYR" w:hAnsi="Times New Roman CYR" w:cs="Times New Roman CYR"/>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2167B1" w:rsidRDefault="002167B1" w:rsidP="002167B1">
      <w:pPr>
        <w:autoSpaceDE w:val="0"/>
        <w:autoSpaceDN w:val="0"/>
        <w:adjustRightInd w:val="0"/>
        <w:outlineLvl w:val="0"/>
      </w:pPr>
      <w:r>
        <w:t>2.2</w:t>
      </w:r>
      <w:r w:rsidRPr="00E15E79">
        <w:t>.</w:t>
      </w:r>
      <w:r>
        <w:t xml:space="preserve">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2167B1" w:rsidRDefault="002167B1" w:rsidP="002167B1">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2167B1" w:rsidRDefault="002167B1" w:rsidP="002167B1">
      <w:pPr>
        <w:spacing w:line="240" w:lineRule="atLeast"/>
        <w:jc w:val="both"/>
      </w:pPr>
      <w: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2167B1" w:rsidRDefault="002167B1" w:rsidP="002167B1">
      <w:pPr>
        <w:suppressAutoHyphens/>
        <w:jc w:val="both"/>
      </w:pPr>
      <w: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2167B1" w:rsidRDefault="002167B1" w:rsidP="002167B1">
      <w:pPr>
        <w:jc w:val="both"/>
      </w:pPr>
      <w: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2167B1" w:rsidRPr="00D722DF" w:rsidRDefault="002167B1" w:rsidP="002167B1">
      <w:pPr>
        <w:spacing w:line="240" w:lineRule="atLeast"/>
        <w:jc w:val="both"/>
      </w:pPr>
      <w:r w:rsidRPr="00D722DF">
        <w:t xml:space="preserve">2.3. Обеспечить возможность выдачи Изделий со дня, следующего за днем заключения государственного контракта. </w:t>
      </w:r>
      <w:r w:rsidRPr="00D722DF">
        <w:rPr>
          <w:bCs/>
        </w:rPr>
        <w:t>В день, следующий за днем заключения государственного контракта, в пунктах и центре приема должно находиться не менее чем 1/10 часть от общего количества Изделий, предусмотренных в государственном контракте. В рамках исполнения государственного контракта в пунктах и центре приема ежедневно должны находиться Изделия до полной выдачи Изделий.</w:t>
      </w:r>
    </w:p>
    <w:p w:rsidR="002167B1" w:rsidRPr="00E1304C" w:rsidRDefault="002167B1" w:rsidP="002167B1">
      <w:pPr>
        <w:tabs>
          <w:tab w:val="left" w:pos="9724"/>
        </w:tabs>
        <w:suppressAutoHyphens/>
        <w:spacing w:line="240" w:lineRule="atLeast"/>
        <w:jc w:val="both"/>
      </w:pPr>
      <w:r w:rsidRPr="00D722DF">
        <w:t>2.4. На момент заключения государственного контракта Поставщиком должен быть организован «Контакт центр» для предварительной записи. Время ожидания ответа оператора не должно составлять более 15 минут. «Контакт центр» должен иметь режим работы не менее чем с 09:00 до 20:00 ежедневно. Телефонный номер должен быть указан в приложении к государственному контракту. Звонки с городских номеров субъекта должны быть бесплатными,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субъекта; исключается возможность взимания оплаты за звонки Поставщиком.</w:t>
      </w:r>
    </w:p>
    <w:p w:rsidR="002167B1" w:rsidRPr="003C54A3" w:rsidRDefault="002167B1" w:rsidP="002167B1">
      <w:pPr>
        <w:tabs>
          <w:tab w:val="left" w:pos="9724"/>
        </w:tabs>
        <w:ind w:right="10"/>
        <w:jc w:val="both"/>
      </w:pPr>
      <w:r w:rsidRPr="00E1304C">
        <w:rPr>
          <w:szCs w:val="28"/>
        </w:rPr>
        <w:t xml:space="preserve">2.5. </w:t>
      </w:r>
      <w:r w:rsidRPr="00E1304C">
        <w:t>Вести журнал</w:t>
      </w:r>
      <w:r w:rsidRPr="003C54A3">
        <w:t xml:space="preserve"> телефонных звонков Получателей. Вести аудиозапись телефонных разговоров с Получателями по вопросам получения Изделий.</w:t>
      </w:r>
    </w:p>
    <w:p w:rsidR="002167B1" w:rsidRPr="00797B48" w:rsidRDefault="002167B1" w:rsidP="002167B1">
      <w:pPr>
        <w:spacing w:line="240" w:lineRule="atLeast"/>
        <w:jc w:val="both"/>
        <w:rPr>
          <w:spacing w:val="-4"/>
        </w:rPr>
      </w:pPr>
      <w:r w:rsidRPr="003C54A3">
        <w:t xml:space="preserve">Предоставлять Заказчику в рамках </w:t>
      </w:r>
      <w:proofErr w:type="gramStart"/>
      <w:r w:rsidRPr="003C54A3">
        <w:t>подтверждения исполнения государственного контракта журнала телефонных звонков</w:t>
      </w:r>
      <w:proofErr w:type="gramEnd"/>
      <w:r w:rsidRPr="003C54A3">
        <w:t xml:space="preserve"> с указанием времени звонка, результате звонка и выборе инвалидов способа и места, времени доставки Изделия.</w:t>
      </w:r>
    </w:p>
    <w:p w:rsidR="002167B1" w:rsidRPr="00797B48" w:rsidRDefault="002167B1" w:rsidP="002167B1">
      <w:pPr>
        <w:suppressAutoHyphens/>
        <w:spacing w:line="240" w:lineRule="atLeast"/>
        <w:jc w:val="both"/>
      </w:pPr>
      <w:r>
        <w:t xml:space="preserve">2.6. </w:t>
      </w:r>
      <w:r w:rsidRPr="00797B48">
        <w:t>Передавать Получателям Изделия, соответствующие направлению. Разовая передача Изделий не может превышать трехмесячной нормы, указанной в направлении.</w:t>
      </w:r>
    </w:p>
    <w:p w:rsidR="002167B1" w:rsidRDefault="002167B1" w:rsidP="002167B1">
      <w:pPr>
        <w:jc w:val="both"/>
      </w:pPr>
      <w:r>
        <w:t xml:space="preserve">2.7. </w:t>
      </w:r>
      <w:r w:rsidRPr="0014478F">
        <w:t>Давать справки Получателям по вопросам, связанным с поставкой Изделий, в часы работы пунктов</w:t>
      </w:r>
      <w:r>
        <w:t xml:space="preserve"> приема</w:t>
      </w:r>
      <w:r w:rsidRPr="0014478F">
        <w:t xml:space="preserve">. </w:t>
      </w:r>
    </w:p>
    <w:p w:rsidR="002167B1" w:rsidRDefault="002167B1" w:rsidP="002167B1"/>
    <w:p w:rsidR="002167B1" w:rsidRPr="00D722DF" w:rsidRDefault="002167B1" w:rsidP="002167B1">
      <w:pPr>
        <w:suppressAutoHyphens/>
        <w:spacing w:line="240" w:lineRule="atLeast"/>
        <w:jc w:val="both"/>
        <w:rPr>
          <w:b/>
        </w:rPr>
      </w:pPr>
      <w:r w:rsidRPr="00D722DF">
        <w:rPr>
          <w:b/>
        </w:rPr>
        <w:lastRenderedPageBreak/>
        <w:t>3. Способ поставки:</w:t>
      </w:r>
    </w:p>
    <w:p w:rsidR="002167B1" w:rsidRPr="00D722DF" w:rsidRDefault="002167B1" w:rsidP="002167B1">
      <w:pPr>
        <w:suppressAutoHyphens/>
        <w:spacing w:line="240" w:lineRule="atLeast"/>
        <w:jc w:val="both"/>
      </w:pPr>
      <w:r w:rsidRPr="00D722DF">
        <w:t xml:space="preserve">3.1. Поставщик передает Изделия Получателям следующими способами: </w:t>
      </w:r>
    </w:p>
    <w:p w:rsidR="002167B1" w:rsidRPr="00D722DF" w:rsidRDefault="002167B1" w:rsidP="002167B1">
      <w:pPr>
        <w:widowControl w:val="0"/>
        <w:jc w:val="both"/>
      </w:pPr>
      <w:r w:rsidRPr="00D722DF">
        <w:t>- по месту нахождения пунктов приема, организованных Поставщиком. Получателям должна быть предоставлена возможность записаться в пункт приема через «контакт центр» на любое время в период не менее чем с 09:00 до 20:00 с понедельника по пятницу;</w:t>
      </w:r>
    </w:p>
    <w:p w:rsidR="002167B1" w:rsidRPr="00D722DF" w:rsidRDefault="002167B1" w:rsidP="002167B1">
      <w:pPr>
        <w:spacing w:line="240" w:lineRule="atLeast"/>
        <w:jc w:val="both"/>
      </w:pPr>
      <w:r w:rsidRPr="00D722DF">
        <w:t>- по месту нахождения Получателя. Поставка путем передачи Изделий Получателям по месту нахождения Получателя осуществляется в пределах административной границы субъекта в срок не позднее 5 (пяти) рабочих дней со дня предварительной записи через «контакт центр». Доставка должна осуществляться не менее чем с понедельника по пятницу в период времени с 10-00 до 21-00.</w:t>
      </w:r>
    </w:p>
    <w:p w:rsidR="002167B1" w:rsidRPr="00D722DF" w:rsidRDefault="002167B1" w:rsidP="002167B1">
      <w:pPr>
        <w:jc w:val="both"/>
      </w:pPr>
      <w:r w:rsidRPr="00D722DF">
        <w:t>-по месту нахождения центра приема. Получателям должна быть предоставлена возможность получения Изделий в центре приема в любое время в период не менее чем с 09:00 до 20:00 ежедневно без предварительной записи, Изделия передаются в день обращения Получателя.</w:t>
      </w:r>
    </w:p>
    <w:p w:rsidR="002167B1" w:rsidRPr="00D722DF" w:rsidRDefault="002167B1" w:rsidP="002167B1">
      <w:pPr>
        <w:jc w:val="both"/>
      </w:pPr>
      <w:r w:rsidRPr="00D722DF">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и центра приема).</w:t>
      </w:r>
    </w:p>
    <w:p w:rsidR="002167B1" w:rsidRPr="00D722DF" w:rsidRDefault="002167B1" w:rsidP="002167B1">
      <w:pPr>
        <w:jc w:val="both"/>
      </w:pPr>
      <w:r w:rsidRPr="00D722DF">
        <w:t xml:space="preserve">3.2.1. Центр приема должен соответствовать следующим требованиям: должен быть организован в Санкт-Петербурге на расстоянии шаговой доступности для Получателей от станции метрополитена (не более </w:t>
      </w:r>
      <w:smartTag w:uri="urn:schemas-microsoft-com:office:smarttags" w:element="metricconverter">
        <w:smartTagPr>
          <w:attr w:name="ProductID" w:val="500 метров"/>
        </w:smartTagPr>
        <w:r w:rsidRPr="00D722DF">
          <w:t>500 метров</w:t>
        </w:r>
      </w:smartTag>
      <w:r w:rsidRPr="00D722DF">
        <w:t xml:space="preserve"> от станции). Ближайшая станция метрополитена должна быть на расстоянии не более 3 станций метрополитена от любой из станций пересечения линий метрополитена (пересадочных станций). Центр приема должен быть оборудован пандусами для облегчения передвижения инвалидов и соответствовать требованиям СП 59.13330.2016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Центра приема, в том числе с помощью его работников, а также сменного кресла-коляски. Центр приема должен быть оборудован гардеробом, соответствующим п. 5.39 СП 118.13330.2012 «Общественные здания и сооружения» и площадью не менее 18 квадратных метров. </w:t>
      </w:r>
      <w:proofErr w:type="gramStart"/>
      <w:r w:rsidRPr="00D722DF">
        <w:t xml:space="preserve">Центр приема должен быть оборудован не менее чем 2 туалетными комнатами со свободным посещением Получателями, причем не менее 1 оборудованной для посещения инвалидами в соответствии с </w:t>
      </w:r>
      <w:proofErr w:type="spellStart"/>
      <w:r w:rsidRPr="00D722DF">
        <w:t>п.п</w:t>
      </w:r>
      <w:proofErr w:type="spellEnd"/>
      <w:r w:rsidRPr="00D722DF">
        <w:t>. 6.3.3, 6.3.6 СП 59.13330.2016 «Доступность зданий и сооружений для маломобильных групп населения».</w:t>
      </w:r>
      <w:proofErr w:type="gramEnd"/>
    </w:p>
    <w:p w:rsidR="002167B1" w:rsidRPr="00D722DF" w:rsidRDefault="002167B1" w:rsidP="002167B1">
      <w:pPr>
        <w:jc w:val="both"/>
      </w:pPr>
      <w:r w:rsidRPr="00D722DF">
        <w:t xml:space="preserve">В центре приема должен быть организован прием Получателей, сотрудниками Поставщика в количестве необходимом для осуществления бесперебойной выдачи Изделий.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центра приема должны быть предназначены только для инвалидов, их представителей и/или сопровождающих лиц, не должны находиться в подземных (подвальных) и цокольных этажах. Центр приема должен иметь отдельный вход и режим работы не менее чем с 09:00 до 20:00 ежедневно. Обслуживание Получателей осуществляется при наличии номера «электронной очереди». Время ожидания в очереди не должно превышать 15 минут. В случае если загруженность центра приема не позволяет обеспечить достижение указанного показателя, Поставщиком оборудуются дополнительные окна обслуживания. В случае если Получатель получил номер «электронной очереди» до 20:00, то сотрудники пункта обязаны осуществить прием Получателя, в том числе после 20:00, в зависимости от прохождения очереди Получателей, имеющих номера «электронной очереди». Центр приема должен быть организован на момент заключения государственного контракта. Изделия должны находиться на складе центра приема, обеспечивающем их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 Адрес и график </w:t>
      </w:r>
      <w:r w:rsidRPr="00D722DF">
        <w:lastRenderedPageBreak/>
        <w:t>работы центра приема должны быть указаны в приложении к государственному контракту.</w:t>
      </w:r>
    </w:p>
    <w:p w:rsidR="002167B1" w:rsidRPr="00D722DF" w:rsidRDefault="002167B1" w:rsidP="002167B1">
      <w:pPr>
        <w:suppressAutoHyphens/>
        <w:spacing w:line="240" w:lineRule="atLeast"/>
        <w:jc w:val="both"/>
      </w:pPr>
      <w:r w:rsidRPr="00D722DF">
        <w:t xml:space="preserve">3.2.2. Пункты приема должны быть организованы на момент заключения государственного контракта и работать до полной выдачи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приема и центра приема. Адреса и график работы пунктов и центра приема должны быть указаны в приложении к государственному контракту. </w:t>
      </w:r>
    </w:p>
    <w:p w:rsidR="002167B1" w:rsidRPr="00D722DF" w:rsidRDefault="002167B1" w:rsidP="002167B1">
      <w:pPr>
        <w:jc w:val="both"/>
      </w:pPr>
      <w:r w:rsidRPr="00D722DF">
        <w:t>Пункты приема должны быть организованы не менее чем в 6 удаленных районах города. Количество пунктов в районе (городском поселении) – не менее одного. Каждый из пунктов должен иметь туалетную комнату со свободным посещением Получателями. Проходы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w:t>
      </w:r>
    </w:p>
    <w:p w:rsidR="002167B1" w:rsidRPr="00797B48" w:rsidRDefault="002167B1" w:rsidP="002167B1">
      <w:pPr>
        <w:jc w:val="both"/>
      </w:pPr>
      <w:r w:rsidRPr="00D722DF">
        <w:t>Центр приема не должен располагаться в пунктах приема.</w:t>
      </w:r>
      <w:r w:rsidRPr="00797B48">
        <w:t xml:space="preserve"> </w:t>
      </w:r>
    </w:p>
    <w:p w:rsidR="002167B1" w:rsidRPr="00797B48" w:rsidRDefault="002167B1" w:rsidP="002167B1">
      <w:pPr>
        <w:jc w:val="both"/>
      </w:pPr>
      <w:r w:rsidRPr="00797B48">
        <w:t>Максимальное время ожидания Получателей в очереди не должно превышать 15 минут.</w:t>
      </w:r>
    </w:p>
    <w:p w:rsidR="002167B1" w:rsidRPr="00797B48" w:rsidRDefault="002167B1" w:rsidP="002167B1">
      <w:pPr>
        <w:jc w:val="both"/>
      </w:pPr>
      <w:r>
        <w:t xml:space="preserve">3.2.3. </w:t>
      </w:r>
      <w:r w:rsidRPr="00797B48">
        <w:t>Вход в каждый пункт приема и центр приема должен быть обозначен надписью (например, "Пункт выдачи ТСР для инвалидов"), позволяющей однозначно определить место нахождения указанного пункта. Информация о графике (режиме) работы каждого пункта приема</w:t>
      </w:r>
      <w:r>
        <w:t xml:space="preserve"> и центра приема</w:t>
      </w:r>
      <w:r w:rsidRPr="00797B48">
        <w:t xml:space="preserve"> должна быть размещена на видном месте при входе в здание, в котором он осуществляет свою деятельность.</w:t>
      </w:r>
    </w:p>
    <w:p w:rsidR="002167B1" w:rsidRPr="0014478F" w:rsidRDefault="002167B1" w:rsidP="002167B1">
      <w:pPr>
        <w:jc w:val="both"/>
      </w:pPr>
      <w:r w:rsidRPr="006B761A">
        <w:t>3.2.4.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2167B1" w:rsidRPr="004C3B10" w:rsidRDefault="002167B1" w:rsidP="002167B1">
      <w:pPr>
        <w:jc w:val="both"/>
      </w:pPr>
      <w:r>
        <w:t>3.3</w:t>
      </w:r>
      <w:r w:rsidRPr="0014478F">
        <w:t xml:space="preserve">. </w:t>
      </w:r>
      <w:r w:rsidRPr="004C3B10">
        <w:t>Поставка путем передачи Изделий Получателям по месту нахождения Получателя осуществляется в пределах административной границы Санкт-Петербурга, не менее чем с 10:00 до 21:00 с понедельника по пятницу, по предварительной записи через «контакт центр».</w:t>
      </w:r>
    </w:p>
    <w:p w:rsidR="002167B1" w:rsidRPr="0014478F" w:rsidRDefault="002167B1" w:rsidP="002167B1">
      <w:pPr>
        <w:suppressAutoHyphens/>
        <w:spacing w:line="240" w:lineRule="atLeast"/>
        <w:jc w:val="both"/>
      </w:pPr>
      <w:r w:rsidRPr="0014478F">
        <w:t>Такая доставка осуществляется в ср</w:t>
      </w:r>
      <w:r>
        <w:t>ок, согласованный с Получателем, но не более 5 рабочих</w:t>
      </w:r>
      <w:r w:rsidRPr="00136917">
        <w:t xml:space="preserve"> дней с</w:t>
      </w:r>
      <w:r>
        <w:t>о</w:t>
      </w:r>
      <w:r w:rsidRPr="00136917">
        <w:t xml:space="preserve"> д</w:t>
      </w:r>
      <w:r>
        <w:t>ня</w:t>
      </w:r>
      <w:r w:rsidRPr="00136917">
        <w:t xml:space="preserve"> обращения Получателя</w:t>
      </w:r>
      <w:r>
        <w:t>.</w:t>
      </w:r>
    </w:p>
    <w:p w:rsidR="002167B1" w:rsidRDefault="002167B1" w:rsidP="002167B1">
      <w:pPr>
        <w:jc w:val="both"/>
      </w:pPr>
      <w:r>
        <w:rPr>
          <w:szCs w:val="28"/>
        </w:rPr>
        <w:t>Поставщик обязан и</w:t>
      </w:r>
      <w:r w:rsidRPr="00475C8C">
        <w:rPr>
          <w:szCs w:val="28"/>
        </w:rPr>
        <w:t xml:space="preserve">нформировать </w:t>
      </w:r>
      <w:r w:rsidRPr="00475C8C">
        <w:t>Заказчика</w:t>
      </w:r>
      <w:r w:rsidRPr="00475C8C">
        <w:rPr>
          <w:szCs w:val="28"/>
        </w:rPr>
        <w:t xml:space="preserve"> </w:t>
      </w:r>
      <w:r w:rsidRPr="00475C8C">
        <w:t xml:space="preserve">о невозможности </w:t>
      </w:r>
      <w:r>
        <w:t>доставки</w:t>
      </w:r>
      <w:r w:rsidRPr="00475C8C">
        <w:t xml:space="preserve"> Изделия Получателю </w:t>
      </w:r>
      <w:r w:rsidRPr="00475C8C">
        <w:rPr>
          <w:szCs w:val="28"/>
        </w:rPr>
        <w:t>не позднее дня, следующего за днем доставки, согласованным с Получателем</w:t>
      </w:r>
      <w:r w:rsidRPr="00475C8C">
        <w:t>.</w:t>
      </w:r>
    </w:p>
    <w:p w:rsidR="002167B1" w:rsidRDefault="002167B1" w:rsidP="002167B1">
      <w:pPr>
        <w:jc w:val="both"/>
      </w:pPr>
      <w:r>
        <w:t xml:space="preserve">4. Заказчик вправе произвести выборочную проверку Изделий </w:t>
      </w:r>
      <w:r w:rsidRPr="00136917">
        <w:t xml:space="preserve">и соответствия пунктов </w:t>
      </w:r>
      <w:r>
        <w:t xml:space="preserve">и центра </w:t>
      </w:r>
      <w:r w:rsidRPr="00136917">
        <w:t>приема требованиям государственного контракта</w:t>
      </w:r>
      <w:r>
        <w:t xml:space="preserve"> начиная со дня, следующего за днем заключения контракта.</w:t>
      </w:r>
    </w:p>
    <w:p w:rsidR="002167B1" w:rsidRDefault="002167B1" w:rsidP="002167B1">
      <w:pPr>
        <w:jc w:val="both"/>
      </w:pPr>
      <w:r w:rsidRPr="00797B48">
        <w:t>При проведении проверки Заказчик вправе осуществлять фото и видеозапись.</w:t>
      </w:r>
      <w:r>
        <w:t xml:space="preserve"> </w:t>
      </w:r>
    </w:p>
    <w:p w:rsidR="002E2C97" w:rsidRDefault="002E2C97">
      <w:bookmarkStart w:id="0" w:name="_GoBack"/>
      <w:bookmarkEnd w:id="0"/>
    </w:p>
    <w:sectPr w:rsidR="002E2C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B1" w:rsidRDefault="002167B1" w:rsidP="002167B1">
      <w:r>
        <w:separator/>
      </w:r>
    </w:p>
  </w:endnote>
  <w:endnote w:type="continuationSeparator" w:id="0">
    <w:p w:rsidR="002167B1" w:rsidRDefault="002167B1" w:rsidP="0021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B1" w:rsidRDefault="002167B1" w:rsidP="002167B1">
      <w:r>
        <w:separator/>
      </w:r>
    </w:p>
  </w:footnote>
  <w:footnote w:type="continuationSeparator" w:id="0">
    <w:p w:rsidR="002167B1" w:rsidRDefault="002167B1" w:rsidP="002167B1">
      <w:r>
        <w:continuationSeparator/>
      </w:r>
    </w:p>
  </w:footnote>
  <w:footnote w:id="1">
    <w:p w:rsidR="002167B1" w:rsidRPr="004D2FEC" w:rsidRDefault="002167B1" w:rsidP="002167B1">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2167B1" w:rsidRDefault="002167B1" w:rsidP="002167B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58"/>
    <w:rsid w:val="002167B1"/>
    <w:rsid w:val="002E2C97"/>
    <w:rsid w:val="00F4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167B1"/>
    <w:rPr>
      <w:sz w:val="20"/>
      <w:szCs w:val="20"/>
    </w:rPr>
  </w:style>
  <w:style w:type="character" w:customStyle="1" w:styleId="a4">
    <w:name w:val="Текст сноски Знак"/>
    <w:basedOn w:val="a0"/>
    <w:link w:val="a3"/>
    <w:semiHidden/>
    <w:rsid w:val="002167B1"/>
    <w:rPr>
      <w:rFonts w:ascii="Times New Roman" w:eastAsia="Times New Roman" w:hAnsi="Times New Roman" w:cs="Times New Roman"/>
      <w:sz w:val="20"/>
      <w:szCs w:val="20"/>
      <w:lang w:eastAsia="ru-RU"/>
    </w:rPr>
  </w:style>
  <w:style w:type="character" w:styleId="a5">
    <w:name w:val="footnote reference"/>
    <w:rsid w:val="002167B1"/>
    <w:rPr>
      <w:vertAlign w:val="superscript"/>
    </w:rPr>
  </w:style>
  <w:style w:type="paragraph" w:customStyle="1" w:styleId="a6">
    <w:name w:val="Содержимое таблицы"/>
    <w:basedOn w:val="a"/>
    <w:rsid w:val="002167B1"/>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167B1"/>
    <w:rPr>
      <w:sz w:val="20"/>
      <w:szCs w:val="20"/>
    </w:rPr>
  </w:style>
  <w:style w:type="character" w:customStyle="1" w:styleId="a4">
    <w:name w:val="Текст сноски Знак"/>
    <w:basedOn w:val="a0"/>
    <w:link w:val="a3"/>
    <w:semiHidden/>
    <w:rsid w:val="002167B1"/>
    <w:rPr>
      <w:rFonts w:ascii="Times New Roman" w:eastAsia="Times New Roman" w:hAnsi="Times New Roman" w:cs="Times New Roman"/>
      <w:sz w:val="20"/>
      <w:szCs w:val="20"/>
      <w:lang w:eastAsia="ru-RU"/>
    </w:rPr>
  </w:style>
  <w:style w:type="character" w:styleId="a5">
    <w:name w:val="footnote reference"/>
    <w:rsid w:val="002167B1"/>
    <w:rPr>
      <w:vertAlign w:val="superscript"/>
    </w:rPr>
  </w:style>
  <w:style w:type="paragraph" w:customStyle="1" w:styleId="a6">
    <w:name w:val="Содержимое таблицы"/>
    <w:basedOn w:val="a"/>
    <w:rsid w:val="002167B1"/>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Петрова</dc:creator>
  <cp:keywords/>
  <dc:description/>
  <cp:lastModifiedBy>Светлана Петрова</cp:lastModifiedBy>
  <cp:revision>2</cp:revision>
  <dcterms:created xsi:type="dcterms:W3CDTF">2018-09-25T08:36:00Z</dcterms:created>
  <dcterms:modified xsi:type="dcterms:W3CDTF">2018-09-25T08:37:00Z</dcterms:modified>
</cp:coreProperties>
</file>