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90" w:rsidRDefault="00CC5390" w:rsidP="00CC5390">
      <w:pPr>
        <w:widowControl w:val="0"/>
        <w:jc w:val="both"/>
        <w:rPr>
          <w:b/>
        </w:rPr>
      </w:pPr>
      <w:r w:rsidRPr="00930F0D">
        <w:rPr>
          <w:b/>
        </w:rPr>
        <w:t>Описание объекта закупки (техническое задание)</w:t>
      </w:r>
    </w:p>
    <w:p w:rsidR="00CC5390" w:rsidRDefault="00CC5390" w:rsidP="00CC5390">
      <w:pPr>
        <w:widowControl w:val="0"/>
        <w:jc w:val="both"/>
        <w:rPr>
          <w:b/>
        </w:rPr>
      </w:pPr>
    </w:p>
    <w:p w:rsidR="00CC5390" w:rsidRPr="00836AEA" w:rsidRDefault="00CC5390" w:rsidP="00CC5390">
      <w:pPr>
        <w:autoSpaceDE w:val="0"/>
        <w:autoSpaceDN w:val="0"/>
        <w:adjustRightInd w:val="0"/>
        <w:jc w:val="both"/>
      </w:pPr>
      <w:r w:rsidRPr="00836AEA">
        <w:t>Исполнитель должен выполнять работы в соответствии с требованиями, предъявляемыми в настоящем техническом задании, в период действия государственного контракта.</w:t>
      </w:r>
    </w:p>
    <w:p w:rsidR="00CC5390" w:rsidRDefault="00CC5390" w:rsidP="00CC5390">
      <w:pPr>
        <w:autoSpaceDE w:val="0"/>
        <w:autoSpaceDN w:val="0"/>
        <w:adjustRightInd w:val="0"/>
        <w:jc w:val="both"/>
      </w:pPr>
    </w:p>
    <w:p w:rsidR="00CC5390" w:rsidRPr="00F83418" w:rsidRDefault="00CC5390" w:rsidP="00CC5390">
      <w:pPr>
        <w:jc w:val="both"/>
        <w:rPr>
          <w:rFonts w:eastAsia="Arial Unicode MS"/>
        </w:rPr>
      </w:pPr>
      <w:r w:rsidRPr="00F83418">
        <w:rPr>
          <w:b/>
        </w:rPr>
        <w:t>Срок выполнения работ:</w:t>
      </w:r>
      <w:r w:rsidRPr="00F83418">
        <w:t xml:space="preserve"> со дня, следующего за днем заключения г</w:t>
      </w:r>
      <w:r>
        <w:t>осударственного контракта, до 11.12.2018</w:t>
      </w:r>
      <w:r w:rsidRPr="00F83418">
        <w:t xml:space="preserve"> включительно.</w:t>
      </w:r>
    </w:p>
    <w:p w:rsidR="00CC5390" w:rsidRDefault="00CC5390" w:rsidP="00CC5390">
      <w:pPr>
        <w:jc w:val="both"/>
        <w:rPr>
          <w:bCs/>
          <w:color w:val="FF0000"/>
          <w:sz w:val="28"/>
          <w:szCs w:val="28"/>
        </w:rPr>
      </w:pPr>
      <w:r w:rsidRPr="00F83418">
        <w:rPr>
          <w:b/>
        </w:rPr>
        <w:t>Сроки завершения работы:</w:t>
      </w:r>
      <w:r>
        <w:t xml:space="preserve"> до 11.12.2018</w:t>
      </w:r>
      <w:r w:rsidRPr="00F83418">
        <w:t xml:space="preserve"> включительно.</w:t>
      </w:r>
    </w:p>
    <w:p w:rsidR="00CC5390" w:rsidRPr="00893E02" w:rsidRDefault="00CC5390" w:rsidP="00CC5390">
      <w:pPr>
        <w:jc w:val="both"/>
      </w:pPr>
    </w:p>
    <w:p w:rsidR="00CC5390" w:rsidRPr="00CF7543" w:rsidRDefault="00CC5390" w:rsidP="00CC5390">
      <w:pPr>
        <w:jc w:val="both"/>
      </w:pPr>
      <w:r w:rsidRPr="00CF7543">
        <w:t>1.</w:t>
      </w:r>
      <w:r>
        <w:t xml:space="preserve"> </w:t>
      </w:r>
      <w:r w:rsidRPr="00CF7543">
        <w:t>В рамках выполнения работ Исполнитель обязан:</w:t>
      </w:r>
    </w:p>
    <w:p w:rsidR="00CC5390" w:rsidRPr="00393D22" w:rsidRDefault="00CC5390" w:rsidP="00CC5390">
      <w:pPr>
        <w:jc w:val="both"/>
      </w:pPr>
      <w:r>
        <w:rPr>
          <w:rFonts w:ascii="Times New Roman CYR" w:hAnsi="Times New Roman CYR" w:cs="Times New Roman CYR"/>
        </w:rPr>
        <w:t xml:space="preserve">1.1. </w:t>
      </w:r>
      <w:r w:rsidRPr="00CF7543">
        <w:rPr>
          <w:rFonts w:ascii="Times New Roman CYR" w:hAnsi="Times New Roman CYR" w:cs="Times New Roman CYR"/>
        </w:rPr>
        <w:t>Осуществ</w:t>
      </w:r>
      <w:r>
        <w:rPr>
          <w:rFonts w:ascii="Times New Roman CYR" w:hAnsi="Times New Roman CYR" w:cs="Times New Roman CYR"/>
        </w:rPr>
        <w:t>ит</w:t>
      </w:r>
      <w:r w:rsidRPr="00CF7543">
        <w:rPr>
          <w:rFonts w:ascii="Times New Roman CYR" w:hAnsi="Times New Roman CYR" w:cs="Times New Roman CYR"/>
        </w:rPr>
        <w:t>ь изготовление инвалид</w:t>
      </w:r>
      <w:r>
        <w:rPr>
          <w:rFonts w:ascii="Times New Roman CYR" w:hAnsi="Times New Roman CYR" w:cs="Times New Roman CYR"/>
        </w:rPr>
        <w:t>у (далее – Получатель</w:t>
      </w:r>
      <w:r w:rsidRPr="00CF7543">
        <w:rPr>
          <w:rFonts w:ascii="Times New Roman CYR" w:hAnsi="Times New Roman CYR" w:cs="Times New Roman CYR"/>
        </w:rPr>
        <w:t xml:space="preserve">) </w:t>
      </w:r>
      <w:r>
        <w:rPr>
          <w:rFonts w:ascii="Times New Roman CYR" w:hAnsi="Times New Roman CYR" w:cs="Times New Roman CYR"/>
        </w:rPr>
        <w:t>протеза бедра модульного с внешним источником энергии (далее – Изделие).</w:t>
      </w:r>
      <w:r w:rsidRPr="003A35CA">
        <w:t xml:space="preserve"> </w:t>
      </w:r>
      <w:r w:rsidRPr="00B54FD8">
        <w:t>Изготовленн</w:t>
      </w:r>
      <w:r>
        <w:t>ое Изделие</w:t>
      </w:r>
      <w:r w:rsidRPr="00B54FD8">
        <w:t xml:space="preserve"> должн</w:t>
      </w:r>
      <w:r>
        <w:t>о</w:t>
      </w:r>
      <w:r w:rsidRPr="00B54FD8">
        <w:t xml:space="preserve"> иметь действующ</w:t>
      </w:r>
      <w:r>
        <w:t>ую декларацию</w:t>
      </w:r>
      <w:r w:rsidRPr="00B54FD8">
        <w:t xml:space="preserve"> о соответствии</w:t>
      </w:r>
      <w:r w:rsidRPr="00393D22">
        <w:t xml:space="preserve">, </w:t>
      </w:r>
      <w:r>
        <w:t xml:space="preserve">оформленную в соответствии с законодательством Российской Федерации. </w:t>
      </w:r>
      <w:r w:rsidRPr="00393D22">
        <w:t xml:space="preserve"> </w:t>
      </w:r>
    </w:p>
    <w:p w:rsidR="00CC5390" w:rsidRPr="00393D22" w:rsidRDefault="00CC5390" w:rsidP="00CC5390">
      <w:pPr>
        <w:jc w:val="both"/>
      </w:pPr>
      <w:r w:rsidRPr="00393D22">
        <w:t>В случае если ранее (в соответствии с нормативно-правовыми акта</w:t>
      </w:r>
      <w:r>
        <w:t>ми Российской Федерации) изделие подлежало</w:t>
      </w:r>
      <w:r w:rsidRPr="00393D22">
        <w:t xml:space="preserve"> обязательной сертификации, </w:t>
      </w:r>
      <w:r>
        <w:t>допускается изготовление изделия, имеющего</w:t>
      </w:r>
      <w:r w:rsidRPr="00393D22">
        <w:t xml:space="preserve"> действующий сертификат соответствия.</w:t>
      </w:r>
    </w:p>
    <w:p w:rsidR="00CC5390" w:rsidRPr="003A35CA" w:rsidRDefault="00CC5390" w:rsidP="00CC5390">
      <w:pPr>
        <w:jc w:val="both"/>
      </w:pPr>
      <w:r w:rsidRPr="00960D0C">
        <w:t xml:space="preserve">В случае окончания срока действия указанных документов до полного исполнения обязательств по контракту </w:t>
      </w:r>
      <w:r>
        <w:t>Исполнитель</w:t>
      </w:r>
      <w:r w:rsidRPr="00960D0C">
        <w:t xml:space="preserve"> в установленные законодательством Российской Федерации сроки обязан обеспечить их продление либо получение новых.</w:t>
      </w:r>
    </w:p>
    <w:p w:rsidR="00CC5390" w:rsidRDefault="00CC5390" w:rsidP="00CC5390">
      <w:pPr>
        <w:jc w:val="both"/>
      </w:pPr>
      <w:r w:rsidRPr="00895926">
        <w:t xml:space="preserve">1.2. Осуществлять прием </w:t>
      </w:r>
      <w:r w:rsidRPr="00D700C0">
        <w:t>Получател</w:t>
      </w:r>
      <w:r>
        <w:t>я</w:t>
      </w:r>
      <w:r w:rsidRPr="00D700C0">
        <w:t xml:space="preserve"> или </w:t>
      </w:r>
      <w:r>
        <w:t>его</w:t>
      </w:r>
      <w:r w:rsidRPr="00D700C0">
        <w:t xml:space="preserve"> представите</w:t>
      </w:r>
      <w:r>
        <w:t>ля</w:t>
      </w:r>
      <w:r w:rsidRPr="00D700C0">
        <w:t xml:space="preserve"> при представлении им паспорта и направления </w:t>
      </w:r>
      <w:r w:rsidRPr="00C535C8">
        <w:t>(по форме, утвержденной государственным контрактом)</w:t>
      </w:r>
      <w:r w:rsidRPr="00D700C0">
        <w:t>, подписанного уполномоченным на дату выдачи направления лицом Заказчика</w:t>
      </w:r>
      <w:r>
        <w:t>.</w:t>
      </w:r>
    </w:p>
    <w:p w:rsidR="00CC5390" w:rsidRDefault="00CC5390" w:rsidP="00CC5390">
      <w:pPr>
        <w:jc w:val="both"/>
      </w:pPr>
      <w: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CC5390" w:rsidRPr="00895926" w:rsidRDefault="00CC5390" w:rsidP="00CC5390">
      <w:pPr>
        <w:jc w:val="both"/>
      </w:pPr>
      <w:r>
        <w:t xml:space="preserve">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 </w:t>
      </w:r>
    </w:p>
    <w:p w:rsidR="00CC5390" w:rsidRPr="00895926" w:rsidRDefault="00CC5390" w:rsidP="00CC5390">
      <w:pPr>
        <w:jc w:val="both"/>
      </w:pPr>
      <w:r w:rsidRPr="00895926">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CC5390" w:rsidRPr="00895926" w:rsidRDefault="00CC5390" w:rsidP="00CC5390">
      <w:pPr>
        <w:jc w:val="both"/>
      </w:pPr>
      <w:r w:rsidRPr="00895926">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CC5390" w:rsidRPr="0034682C" w:rsidRDefault="00CC5390" w:rsidP="00CC5390">
      <w:pPr>
        <w:jc w:val="both"/>
      </w:pPr>
      <w:r w:rsidRPr="00393D22">
        <w:t>1.3. Выполнять работы по изготовлению Издели</w:t>
      </w:r>
      <w:r>
        <w:t>я</w:t>
      </w:r>
      <w:r w:rsidRPr="00393D22">
        <w:t xml:space="preserve"> по индивидуальным размерам Получател</w:t>
      </w:r>
      <w:r>
        <w:t>я, выдачу Изделия</w:t>
      </w:r>
      <w:r w:rsidRPr="00393D22">
        <w:t>, обучение пользованию Издели</w:t>
      </w:r>
      <w:r>
        <w:t>ем</w:t>
      </w:r>
      <w:r w:rsidRPr="00393D22">
        <w:t xml:space="preserve"> </w:t>
      </w:r>
      <w:r>
        <w:t>в срок</w:t>
      </w:r>
      <w:r w:rsidRPr="00393D22">
        <w:t xml:space="preserve"> не более </w:t>
      </w:r>
      <w:r>
        <w:t>30 (тридцати)</w:t>
      </w:r>
      <w:r w:rsidRPr="00393D22">
        <w:t xml:space="preserve"> </w:t>
      </w:r>
      <w:r>
        <w:t>рабочих</w:t>
      </w:r>
      <w:r w:rsidRPr="00393D22">
        <w:t xml:space="preserve"> дней со дня обращения Получателя.</w:t>
      </w:r>
    </w:p>
    <w:p w:rsidR="00CC5390" w:rsidRPr="00895926" w:rsidRDefault="00CC5390" w:rsidP="00CC5390">
      <w:pPr>
        <w:jc w:val="both"/>
      </w:pPr>
      <w:r w:rsidRPr="00895926">
        <w:t>1.4. Осуществлять гарантийный ремонт Издели</w:t>
      </w:r>
      <w:r>
        <w:t>я</w:t>
      </w:r>
      <w:r w:rsidRPr="00895926">
        <w:t xml:space="preserve"> за счет собственных средств в пери</w:t>
      </w:r>
      <w:r>
        <w:t xml:space="preserve">од гарантийного срока на Изделие. Гарантийный срок </w:t>
      </w:r>
      <w:r w:rsidRPr="00895926">
        <w:t>н</w:t>
      </w:r>
      <w:r>
        <w:t>а Изделие</w:t>
      </w:r>
      <w:r w:rsidRPr="00895926">
        <w:t xml:space="preserve"> </w:t>
      </w:r>
      <w:proofErr w:type="gramStart"/>
      <w:r w:rsidRPr="00895926">
        <w:t>составляет  не</w:t>
      </w:r>
      <w:proofErr w:type="gramEnd"/>
      <w:r w:rsidRPr="00895926">
        <w:t xml:space="preserve"> менее </w:t>
      </w:r>
      <w:r w:rsidRPr="00657FD3">
        <w:t>12</w:t>
      </w:r>
      <w:r>
        <w:t xml:space="preserve"> месяцев с</w:t>
      </w:r>
      <w:r w:rsidRPr="00C41CAC">
        <w:t xml:space="preserve"> </w:t>
      </w:r>
      <w:r>
        <w:t xml:space="preserve">момента получения Изделия Получателем. </w:t>
      </w:r>
      <w:r w:rsidRPr="00895926">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w:t>
      </w:r>
      <w:r>
        <w:t>Законом РФ</w:t>
      </w:r>
      <w:r w:rsidRPr="00895926">
        <w:t xml:space="preserve"> от 07.02.1992 № 2300-1 «О защите прав потребит</w:t>
      </w:r>
      <w:r>
        <w:t>елей». В связи с тем, что передача Изделия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w:t>
      </w:r>
      <w:r w:rsidRPr="00895926">
        <w:t>.</w:t>
      </w:r>
    </w:p>
    <w:p w:rsidR="00CC5390" w:rsidRPr="00895926" w:rsidRDefault="00CC5390" w:rsidP="00CC5390">
      <w:pPr>
        <w:jc w:val="both"/>
      </w:pPr>
      <w:r w:rsidRPr="00895926">
        <w:lastRenderedPageBreak/>
        <w:t>1.5. Осуществлять прием Получател</w:t>
      </w:r>
      <w:r>
        <w:t>я</w:t>
      </w:r>
      <w:r w:rsidRPr="00895926">
        <w:t xml:space="preserve"> по вопросам, касающим</w:t>
      </w:r>
      <w:r>
        <w:t>ся изготовления и выдачи Изделия, гарантийного ремонта Изделия</w:t>
      </w:r>
      <w:r w:rsidRPr="00895926">
        <w:t xml:space="preserve">, по месту нахождения пункта (пунктов) приема, расположенного на территории Санкт-Петербурга, организованного Исполнителем на момент заключения государственного контракта. </w:t>
      </w:r>
      <w:r>
        <w:t>Не позднее дня, следующего за днем заключения контракта, Исполнитель передает Заказчику</w:t>
      </w:r>
      <w:r w:rsidRPr="00895926">
        <w:t xml:space="preserve"> </w:t>
      </w:r>
      <w:r>
        <w:t>документы, подтверждающие право Исполнителя использовать помещения пунктов приема.</w:t>
      </w:r>
      <w:r w:rsidRPr="00895926">
        <w:t xml:space="preserve"> Количество пунктов приема - не менее одного. </w:t>
      </w:r>
    </w:p>
    <w:p w:rsidR="00CC5390" w:rsidRPr="00BB2DDB" w:rsidRDefault="00CC5390" w:rsidP="00CC5390">
      <w:pPr>
        <w:autoSpaceDE w:val="0"/>
        <w:jc w:val="both"/>
      </w:pPr>
      <w:r w:rsidRPr="00895926">
        <w:t>Пункт должен обеспечивать прием Получател</w:t>
      </w:r>
      <w:r>
        <w:t>я</w:t>
      </w:r>
      <w:r w:rsidRPr="00895926">
        <w:t xml:space="preserve"> не менее 5 (пяти) дней в неделю, не менее 40 часов в неделю, при этом,</w:t>
      </w:r>
      <w:r>
        <w:t xml:space="preserve"> время работы пункта (пунктов) </w:t>
      </w:r>
      <w:r w:rsidRPr="00895926">
        <w:t xml:space="preserve">должно попадать в интервал с 08:00 до 22:00. </w:t>
      </w:r>
      <w:r>
        <w:t>Проход в пункт (пункты) приема и передвижение по ним должны быть беспрепятственны для инвалидов (в случае необходимости, пункт (пункты) приема должны быть оборудованы пандусами для облегчения передвижения инвалидов). Пункт (пункты) приема должны иметь туалетные комнаты, оборудованные для посещения инвалидами, со свободным доступом Получателей.</w:t>
      </w:r>
      <w:r w:rsidRPr="00895926">
        <w:t xml:space="preserve"> Адреса и график работы пунктов должны быть указаны в приложении к государственному контракту.</w:t>
      </w:r>
      <w:r>
        <w:t xml:space="preserve"> </w:t>
      </w:r>
      <w:r w:rsidRPr="00895926">
        <w:t>Максимальное время ожидания Получател</w:t>
      </w:r>
      <w:r>
        <w:t>я</w:t>
      </w:r>
      <w:r w:rsidRPr="00895926">
        <w:t xml:space="preserve"> в очереди не должно п</w:t>
      </w:r>
      <w:r>
        <w:t>ревышать 15 минут.</w:t>
      </w:r>
    </w:p>
    <w:p w:rsidR="00CC5390" w:rsidRDefault="00CC5390" w:rsidP="00CC5390">
      <w:pPr>
        <w:autoSpaceDE w:val="0"/>
        <w:jc w:val="both"/>
      </w:pPr>
      <w:r w:rsidRPr="00895926">
        <w:t>Давать справки Получател</w:t>
      </w:r>
      <w:r>
        <w:t>ю</w:t>
      </w:r>
      <w:r w:rsidRPr="00895926">
        <w:t xml:space="preserve"> по вопросам, связанным с изготовлением Издели</w:t>
      </w:r>
      <w:r>
        <w:t>я</w:t>
      </w:r>
      <w:r w:rsidRPr="00895926">
        <w:t>. Для звонков Получател</w:t>
      </w:r>
      <w:r>
        <w:t>я</w:t>
      </w:r>
      <w:r w:rsidRPr="00895926">
        <w:t xml:space="preserve"> должен быть выделен телефонный номер, указанный в приложении к государственному контракту. Звонки с городских номеров Санкт-Петербурга должны быть бесплатными для Получател</w:t>
      </w:r>
      <w:r>
        <w:t>я</w:t>
      </w:r>
      <w:r w:rsidRPr="00895926">
        <w:t xml:space="preserve"> (не допускается взимание дополнительной оплаты телефонных переговоров Получател</w:t>
      </w:r>
      <w:r>
        <w:t>я</w:t>
      </w:r>
      <w:r w:rsidRPr="00895926">
        <w:t xml:space="preserve"> в виде предоставления для звонков Получател</w:t>
      </w:r>
      <w:r>
        <w:t>я</w:t>
      </w:r>
      <w:r w:rsidRPr="00895926">
        <w:t xml:space="preserve"> телефонного номера оператора сотовой связи;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CC5390" w:rsidRDefault="00CC5390" w:rsidP="00CC5390">
      <w:pPr>
        <w:jc w:val="both"/>
      </w:pPr>
      <w:r>
        <w:t>Предоставлять Получателю право выбора способа получения Изделия (по месту жительства, по месту нахождения пункта (пунктов) выдачи).</w:t>
      </w:r>
    </w:p>
    <w:p w:rsidR="00CC5390" w:rsidRDefault="00CC5390" w:rsidP="00CC5390">
      <w:pPr>
        <w:jc w:val="both"/>
      </w:pPr>
      <w:r w:rsidRPr="006B48A0">
        <w:t>Вести аудиозапись теле</w:t>
      </w:r>
      <w:r>
        <w:t>фонных разговоров с Получателем по вопросам получения Изделия</w:t>
      </w:r>
      <w:r w:rsidRPr="006B48A0">
        <w:t>.</w:t>
      </w:r>
    </w:p>
    <w:p w:rsidR="00CC5390" w:rsidRDefault="00CC5390" w:rsidP="00CC5390">
      <w:pPr>
        <w:jc w:val="both"/>
      </w:pPr>
      <w:r>
        <w:t>Предоставлять Заказчику в рамках подтверждения исполнения государственного контракта журнал телефонных звонков.</w:t>
      </w:r>
    </w:p>
    <w:p w:rsidR="00CC5390" w:rsidRPr="00895926" w:rsidRDefault="00CC5390" w:rsidP="00CC5390">
      <w:pPr>
        <w:jc w:val="both"/>
      </w:pPr>
      <w:r>
        <w:t xml:space="preserve">2. </w:t>
      </w:r>
      <w:r w:rsidRPr="00895926">
        <w:t xml:space="preserve"> Изгот</w:t>
      </w:r>
      <w:r>
        <w:t>ови</w:t>
      </w:r>
      <w:r w:rsidRPr="00895926">
        <w:t>ть для Получател</w:t>
      </w:r>
      <w:r>
        <w:t>я</w:t>
      </w:r>
      <w:r w:rsidRPr="00895926">
        <w:t xml:space="preserve"> Издели</w:t>
      </w:r>
      <w:r>
        <w:t>е</w:t>
      </w:r>
      <w:r w:rsidRPr="00895926">
        <w:t>, удовлетворяющие следующим требованиям:</w:t>
      </w:r>
    </w:p>
    <w:p w:rsidR="00CC5390" w:rsidRDefault="00CC5390" w:rsidP="00CC5390">
      <w:pPr>
        <w:jc w:val="both"/>
        <w:rPr>
          <w:rFonts w:ascii="Times New Roman CYR" w:hAnsi="Times New Roman CYR" w:cs="Times New Roman CYR"/>
        </w:rPr>
      </w:pPr>
      <w:r>
        <w:t xml:space="preserve">2.1. 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 </w:t>
      </w:r>
      <w:r>
        <w:rPr>
          <w:rFonts w:ascii="Times New Roman CYR" w:hAnsi="Times New Roman CYR" w:cs="Times New Roman CYR"/>
        </w:rPr>
        <w:t>(Закон Российской Федерации от 07.02.1992 № 2300-1 «О защите прав потребителей»).</w:t>
      </w:r>
    </w:p>
    <w:p w:rsidR="00CC5390" w:rsidRDefault="00CC5390" w:rsidP="00CC5390">
      <w:pPr>
        <w:widowControl w:val="0"/>
        <w:jc w:val="both"/>
        <w:rPr>
          <w:rFonts w:ascii="Times New Roman CYR" w:hAnsi="Times New Roman CYR" w:cs="Times New Roman CYR"/>
        </w:rPr>
      </w:pPr>
      <w:r>
        <w:t>2.2. Изделие должно быть в упаковке, обеспечивающей защиту от воздействия механических и климатических факторов (п.4.11.5 ГОСТ Р 51632-2014 «Технические средства реабилитации людей с ограничениями жизнедеятельности. Общие технические требования и методы испытаний»)</w:t>
      </w:r>
      <w:r>
        <w:rPr>
          <w:rFonts w:ascii="Times New Roman CYR" w:hAnsi="Times New Roman CYR" w:cs="Times New Roman CYR"/>
        </w:rPr>
        <w:t xml:space="preserve">. </w:t>
      </w:r>
    </w:p>
    <w:p w:rsidR="00CC5390" w:rsidRDefault="00CC5390" w:rsidP="00CC5390">
      <w:pPr>
        <w:widowControl w:val="0"/>
        <w:jc w:val="both"/>
      </w:pPr>
      <w:r>
        <w:t>2.3. Изделие должно быть новым. Изделие должны быть свободным от прав третьих лиц.</w:t>
      </w:r>
    </w:p>
    <w:p w:rsidR="00CC5390" w:rsidRDefault="00CC5390" w:rsidP="00CC5390">
      <w:pPr>
        <w:widowControl w:val="0"/>
        <w:jc w:val="both"/>
      </w:pPr>
      <w:r>
        <w:t>2.</w:t>
      </w:r>
      <w:r w:rsidRPr="00106D13">
        <w:t>4</w:t>
      </w:r>
      <w:r>
        <w:t>.</w:t>
      </w:r>
      <w:r w:rsidRPr="0022690F">
        <w:t xml:space="preserve"> </w:t>
      </w:r>
      <w:r>
        <w:rPr>
          <w:lang w:eastAsia="ar-SA"/>
        </w:rPr>
        <w:t>Изделие должно</w:t>
      </w:r>
      <w:r w:rsidRPr="0022690F">
        <w:rPr>
          <w:lang w:eastAsia="ar-SA"/>
        </w:rPr>
        <w:t xml:space="preserve"> отвечать следующим требованиям</w:t>
      </w:r>
      <w:r w:rsidRPr="0022690F">
        <w:rPr>
          <w:rStyle w:val="a5"/>
        </w:rPr>
        <w:footnoteReference w:id="1"/>
      </w:r>
      <w:r>
        <w:rPr>
          <w:lang w:eastAsia="ar-SA"/>
        </w:rPr>
        <w:t>:</w:t>
      </w:r>
      <w:r w:rsidRPr="0022690F">
        <w:rPr>
          <w:rStyle w:val="a5"/>
        </w:rPr>
        <w:t xml:space="preserve"> </w:t>
      </w: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2551"/>
        <w:gridCol w:w="1843"/>
        <w:gridCol w:w="1275"/>
        <w:gridCol w:w="1561"/>
        <w:gridCol w:w="850"/>
      </w:tblGrid>
      <w:tr w:rsidR="00CC5390" w:rsidRPr="006B502E" w:rsidTr="00535795">
        <w:tc>
          <w:tcPr>
            <w:tcW w:w="567" w:type="dxa"/>
            <w:shd w:val="clear" w:color="auto" w:fill="auto"/>
          </w:tcPr>
          <w:p w:rsidR="00CC5390" w:rsidRPr="006B502E" w:rsidRDefault="00CC5390" w:rsidP="00535795">
            <w:pPr>
              <w:widowControl w:val="0"/>
              <w:suppressAutoHyphens/>
              <w:snapToGrid w:val="0"/>
              <w:jc w:val="center"/>
            </w:pPr>
            <w:r w:rsidRPr="006B502E">
              <w:t>№</w:t>
            </w:r>
          </w:p>
          <w:p w:rsidR="00CC5390" w:rsidRPr="006B502E" w:rsidRDefault="00CC5390" w:rsidP="00535795">
            <w:pPr>
              <w:widowControl w:val="0"/>
              <w:suppressAutoHyphens/>
              <w:snapToGrid w:val="0"/>
              <w:jc w:val="center"/>
            </w:pPr>
            <w:r w:rsidRPr="006B502E">
              <w:t>п/п</w:t>
            </w:r>
          </w:p>
        </w:tc>
        <w:tc>
          <w:tcPr>
            <w:tcW w:w="1844" w:type="dxa"/>
            <w:shd w:val="clear" w:color="auto" w:fill="auto"/>
          </w:tcPr>
          <w:p w:rsidR="00CC5390" w:rsidRPr="006B502E" w:rsidRDefault="00CC5390" w:rsidP="00535795">
            <w:pPr>
              <w:widowControl w:val="0"/>
              <w:suppressAutoHyphens/>
              <w:jc w:val="center"/>
            </w:pPr>
            <w:r w:rsidRPr="006B502E">
              <w:t>Наименование Изделия</w:t>
            </w:r>
          </w:p>
        </w:tc>
        <w:tc>
          <w:tcPr>
            <w:tcW w:w="2551" w:type="dxa"/>
            <w:shd w:val="clear" w:color="auto" w:fill="auto"/>
          </w:tcPr>
          <w:p w:rsidR="00CC5390" w:rsidRPr="006B502E" w:rsidRDefault="00CC5390" w:rsidP="00535795">
            <w:pPr>
              <w:widowControl w:val="0"/>
              <w:suppressAutoHyphens/>
              <w:snapToGrid w:val="0"/>
              <w:jc w:val="center"/>
            </w:pPr>
            <w:r w:rsidRPr="006B502E">
              <w:t>Характеристика Изделия</w:t>
            </w:r>
          </w:p>
        </w:tc>
        <w:tc>
          <w:tcPr>
            <w:tcW w:w="1843" w:type="dxa"/>
            <w:shd w:val="clear" w:color="auto" w:fill="auto"/>
          </w:tcPr>
          <w:p w:rsidR="00CC5390" w:rsidRPr="006B502E" w:rsidRDefault="00CC5390" w:rsidP="00535795">
            <w:pPr>
              <w:widowControl w:val="0"/>
              <w:suppressAutoHyphens/>
              <w:snapToGrid w:val="0"/>
              <w:jc w:val="center"/>
            </w:pPr>
            <w:r w:rsidRPr="006B502E">
              <w:t>Наименование используемого товара</w:t>
            </w:r>
          </w:p>
        </w:tc>
        <w:tc>
          <w:tcPr>
            <w:tcW w:w="1275" w:type="dxa"/>
            <w:shd w:val="clear" w:color="auto" w:fill="auto"/>
          </w:tcPr>
          <w:p w:rsidR="00CC5390" w:rsidRPr="006B502E" w:rsidRDefault="00CC5390" w:rsidP="00535795">
            <w:pPr>
              <w:widowControl w:val="0"/>
              <w:suppressAutoHyphens/>
              <w:snapToGrid w:val="0"/>
              <w:jc w:val="center"/>
            </w:pPr>
            <w:r w:rsidRPr="006B502E">
              <w:t xml:space="preserve">Показатель </w:t>
            </w:r>
            <w:r w:rsidRPr="006B502E">
              <w:rPr>
                <w:bCs/>
              </w:rPr>
              <w:t>характеристики используемого товара</w:t>
            </w:r>
          </w:p>
        </w:tc>
        <w:tc>
          <w:tcPr>
            <w:tcW w:w="1561" w:type="dxa"/>
            <w:shd w:val="clear" w:color="auto" w:fill="auto"/>
          </w:tcPr>
          <w:p w:rsidR="00CC5390" w:rsidRPr="006B502E" w:rsidRDefault="00CC5390" w:rsidP="00535795">
            <w:pPr>
              <w:widowControl w:val="0"/>
              <w:suppressAutoHyphens/>
              <w:snapToGrid w:val="0"/>
              <w:jc w:val="center"/>
            </w:pPr>
            <w:r w:rsidRPr="006B502E">
              <w:t>ГОСТ, технический регламент/обоснование использования (в том числе его характеристика)</w:t>
            </w:r>
          </w:p>
        </w:tc>
        <w:tc>
          <w:tcPr>
            <w:tcW w:w="850" w:type="dxa"/>
            <w:shd w:val="clear" w:color="auto" w:fill="auto"/>
          </w:tcPr>
          <w:p w:rsidR="00CC5390" w:rsidRPr="006B502E" w:rsidRDefault="00CC5390" w:rsidP="00535795">
            <w:pPr>
              <w:widowControl w:val="0"/>
              <w:suppressAutoHyphens/>
              <w:snapToGrid w:val="0"/>
              <w:jc w:val="center"/>
            </w:pPr>
            <w:r w:rsidRPr="006B502E">
              <w:t>Кол-во</w:t>
            </w:r>
          </w:p>
          <w:p w:rsidR="00CC5390" w:rsidRPr="006B502E" w:rsidRDefault="00CC5390" w:rsidP="00535795">
            <w:pPr>
              <w:widowControl w:val="0"/>
              <w:suppressAutoHyphens/>
              <w:jc w:val="center"/>
            </w:pPr>
            <w:r w:rsidRPr="006B502E">
              <w:t>Изделий (шт.)</w:t>
            </w:r>
          </w:p>
          <w:p w:rsidR="00CC5390" w:rsidRPr="006B502E" w:rsidRDefault="00CC5390" w:rsidP="00535795">
            <w:pPr>
              <w:widowControl w:val="0"/>
              <w:suppressAutoHyphens/>
              <w:jc w:val="center"/>
            </w:pPr>
          </w:p>
        </w:tc>
      </w:tr>
      <w:tr w:rsidR="00CC5390" w:rsidRPr="00C212F8" w:rsidTr="00535795">
        <w:trPr>
          <w:trHeight w:val="1186"/>
        </w:trPr>
        <w:tc>
          <w:tcPr>
            <w:tcW w:w="567" w:type="dxa"/>
            <w:vMerge w:val="restart"/>
            <w:shd w:val="clear" w:color="auto" w:fill="auto"/>
          </w:tcPr>
          <w:p w:rsidR="00CC5390" w:rsidRPr="00C212F8" w:rsidRDefault="00CC5390" w:rsidP="00535795">
            <w:pPr>
              <w:widowControl w:val="0"/>
              <w:suppressAutoHyphens/>
              <w:snapToGrid w:val="0"/>
              <w:jc w:val="center"/>
            </w:pPr>
            <w:r w:rsidRPr="00C212F8">
              <w:t>1.</w:t>
            </w:r>
          </w:p>
        </w:tc>
        <w:tc>
          <w:tcPr>
            <w:tcW w:w="1844" w:type="dxa"/>
            <w:vMerge w:val="restart"/>
            <w:shd w:val="clear" w:color="auto" w:fill="auto"/>
          </w:tcPr>
          <w:p w:rsidR="00CC5390" w:rsidRPr="00C212F8" w:rsidRDefault="00CC5390" w:rsidP="00535795">
            <w:pPr>
              <w:widowControl w:val="0"/>
              <w:suppressAutoHyphens/>
            </w:pPr>
            <w:r w:rsidRPr="00C212F8">
              <w:t>Протез бедра модульный с внешним источником энергии</w:t>
            </w:r>
          </w:p>
        </w:tc>
        <w:tc>
          <w:tcPr>
            <w:tcW w:w="2551" w:type="dxa"/>
            <w:vMerge w:val="restart"/>
            <w:shd w:val="clear" w:color="auto" w:fill="auto"/>
          </w:tcPr>
          <w:p w:rsidR="00CC5390" w:rsidRPr="003D6DBE" w:rsidRDefault="00CC5390" w:rsidP="00535795">
            <w:pPr>
              <w:rPr>
                <w:lang w:eastAsia="ar-SA"/>
              </w:rPr>
            </w:pPr>
            <w:r w:rsidRPr="00EB26CF">
              <w:t xml:space="preserve">Протез бедра </w:t>
            </w:r>
            <w:r>
              <w:t xml:space="preserve">модульный </w:t>
            </w:r>
            <w:r w:rsidRPr="00EB26CF">
              <w:t>с внешним источником энергии</w:t>
            </w:r>
            <w:r>
              <w:t xml:space="preserve"> </w:t>
            </w:r>
            <w:r w:rsidRPr="00EB26CF">
              <w:t xml:space="preserve">для получателей высокого уровня активности. </w:t>
            </w:r>
            <w:r w:rsidRPr="003D6DBE">
              <w:t xml:space="preserve">Формообразующая часть облицовки – жесткая до коленного модуля. Пробная приемная гильза по </w:t>
            </w:r>
            <w:r w:rsidRPr="00F879C1">
              <w:t>слепку. Постоянная приемная гильза</w:t>
            </w:r>
            <w:r>
              <w:t xml:space="preserve"> (несущая </w:t>
            </w:r>
            <w:proofErr w:type="spellStart"/>
            <w:r>
              <w:t>скелетированная</w:t>
            </w:r>
            <w:proofErr w:type="spellEnd"/>
            <w:r>
              <w:t xml:space="preserve">) </w:t>
            </w:r>
            <w:r w:rsidRPr="003D6DBE">
              <w:t>по слепку. Мягкая вкладная гильза. Регулировочно-соединительные устройства.</w:t>
            </w:r>
          </w:p>
          <w:p w:rsidR="00CC5390" w:rsidRPr="003D6DBE" w:rsidRDefault="00CC5390" w:rsidP="00535795">
            <w:r w:rsidRPr="003D6DBE">
              <w:t xml:space="preserve">Коленный модуль одноосный гидравлический, со смещенным центром тяжести к верхней части коленного модуля, что позволяет получателю чувствовать протез более легким, с внешним источником энергии, с микропроцессором, управляющим фазой опоры и переноса. Имеет сменный, позволяющий производить замену без разбора протеза и </w:t>
            </w:r>
            <w:r w:rsidRPr="003D6DBE">
              <w:lastRenderedPageBreak/>
              <w:t>снятия облицовки, аккумулятор. Настройка коленного модуля осуществляется с помощью программного обеспечения. Коленный модуль адаптируется к индивидуальному пользователю и автоматически вносит изменения в систему управления коленным модулем. Водостойкий. Стопа с высоким уровнем энергосбережения с расщепленным носком и пяткой для безопасной ходьбы по пересеченной местности.</w:t>
            </w:r>
          </w:p>
          <w:p w:rsidR="00CC5390" w:rsidRPr="00C212F8" w:rsidRDefault="00CC5390" w:rsidP="00535795">
            <w:pPr>
              <w:widowControl w:val="0"/>
              <w:suppressAutoHyphens/>
              <w:snapToGrid w:val="0"/>
            </w:pPr>
            <w:r w:rsidRPr="003D6DBE">
              <w:t>Допол</w:t>
            </w:r>
            <w:r>
              <w:t>нительное р</w:t>
            </w:r>
            <w:r w:rsidRPr="003D6DBE">
              <w:t>егулировочно-соединительное устройство – поворотный адаптер. Крепление – вакуумный клапан. Тип протеза по назначению: постоянный.</w:t>
            </w:r>
          </w:p>
        </w:tc>
        <w:tc>
          <w:tcPr>
            <w:tcW w:w="1843" w:type="dxa"/>
            <w:shd w:val="clear" w:color="auto" w:fill="auto"/>
          </w:tcPr>
          <w:p w:rsidR="00CC5390" w:rsidRPr="00C212F8" w:rsidRDefault="00CC5390" w:rsidP="00535795">
            <w:pPr>
              <w:autoSpaceDE w:val="0"/>
              <w:autoSpaceDN w:val="0"/>
              <w:adjustRightInd w:val="0"/>
            </w:pPr>
            <w:r w:rsidRPr="00C212F8">
              <w:lastRenderedPageBreak/>
              <w:t>Ма</w:t>
            </w:r>
            <w:r>
              <w:t xml:space="preserve">териал пробной приемной гильзы - </w:t>
            </w:r>
            <w:r w:rsidRPr="00C212F8">
              <w:t>листовой термопласт</w:t>
            </w:r>
          </w:p>
        </w:tc>
        <w:tc>
          <w:tcPr>
            <w:tcW w:w="1275" w:type="dxa"/>
            <w:shd w:val="clear" w:color="auto" w:fill="auto"/>
          </w:tcPr>
          <w:p w:rsidR="00CC5390" w:rsidRPr="00C212F8" w:rsidRDefault="00CC5390" w:rsidP="00535795">
            <w:pPr>
              <w:autoSpaceDE w:val="0"/>
              <w:autoSpaceDN w:val="0"/>
              <w:adjustRightInd w:val="0"/>
            </w:pPr>
            <w:r w:rsidRPr="00C212F8">
              <w:t>Наличие</w:t>
            </w:r>
          </w:p>
        </w:tc>
        <w:tc>
          <w:tcPr>
            <w:tcW w:w="1561" w:type="dxa"/>
            <w:vMerge w:val="restart"/>
            <w:shd w:val="clear" w:color="auto" w:fill="auto"/>
          </w:tcPr>
          <w:p w:rsidR="00CC5390" w:rsidRPr="00C212F8" w:rsidRDefault="00CC5390" w:rsidP="00535795">
            <w:pPr>
              <w:widowControl w:val="0"/>
              <w:suppressAutoHyphens/>
              <w:snapToGrid w:val="0"/>
              <w:jc w:val="center"/>
            </w:pPr>
            <w:r>
              <w:t>Заключение медико-технической комиссии</w:t>
            </w:r>
          </w:p>
        </w:tc>
        <w:tc>
          <w:tcPr>
            <w:tcW w:w="850" w:type="dxa"/>
            <w:vMerge w:val="restart"/>
            <w:shd w:val="clear" w:color="auto" w:fill="auto"/>
          </w:tcPr>
          <w:p w:rsidR="00CC5390" w:rsidRPr="00C212F8" w:rsidRDefault="00CC5390" w:rsidP="00535795">
            <w:pPr>
              <w:widowControl w:val="0"/>
              <w:suppressAutoHyphens/>
              <w:snapToGrid w:val="0"/>
              <w:jc w:val="center"/>
            </w:pPr>
            <w:r w:rsidRPr="00C212F8">
              <w:t>1</w:t>
            </w:r>
          </w:p>
        </w:tc>
      </w:tr>
      <w:tr w:rsidR="00CC5390" w:rsidRPr="00C212F8" w:rsidTr="00535795">
        <w:tc>
          <w:tcPr>
            <w:tcW w:w="567" w:type="dxa"/>
            <w:vMerge/>
            <w:shd w:val="clear" w:color="auto" w:fill="auto"/>
          </w:tcPr>
          <w:p w:rsidR="00CC5390" w:rsidRPr="00C212F8" w:rsidRDefault="00CC5390" w:rsidP="00535795">
            <w:pPr>
              <w:widowControl w:val="0"/>
              <w:suppressAutoHyphens/>
              <w:snapToGrid w:val="0"/>
              <w:jc w:val="center"/>
            </w:pPr>
          </w:p>
        </w:tc>
        <w:tc>
          <w:tcPr>
            <w:tcW w:w="1844" w:type="dxa"/>
            <w:vMerge/>
            <w:shd w:val="clear" w:color="auto" w:fill="auto"/>
          </w:tcPr>
          <w:p w:rsidR="00CC5390" w:rsidRPr="00C212F8" w:rsidRDefault="00CC5390" w:rsidP="00535795">
            <w:pPr>
              <w:widowControl w:val="0"/>
              <w:suppressAutoHyphens/>
              <w:jc w:val="center"/>
            </w:pPr>
          </w:p>
        </w:tc>
        <w:tc>
          <w:tcPr>
            <w:tcW w:w="2551" w:type="dxa"/>
            <w:vMerge/>
            <w:shd w:val="clear" w:color="auto" w:fill="auto"/>
          </w:tcPr>
          <w:p w:rsidR="00CC5390" w:rsidRPr="00C212F8" w:rsidRDefault="00CC5390" w:rsidP="00535795">
            <w:pPr>
              <w:widowControl w:val="0"/>
              <w:suppressAutoHyphens/>
              <w:snapToGrid w:val="0"/>
            </w:pPr>
          </w:p>
        </w:tc>
        <w:tc>
          <w:tcPr>
            <w:tcW w:w="1843" w:type="dxa"/>
            <w:shd w:val="clear" w:color="auto" w:fill="auto"/>
          </w:tcPr>
          <w:p w:rsidR="00CC5390" w:rsidRPr="00C212F8" w:rsidRDefault="00CC5390" w:rsidP="00535795">
            <w:pPr>
              <w:autoSpaceDE w:val="0"/>
              <w:autoSpaceDN w:val="0"/>
              <w:adjustRightInd w:val="0"/>
            </w:pPr>
            <w:r w:rsidRPr="00C212F8">
              <w:t>Материал постоянной приемной гильзы – слоистый пластик на основе акриловых смол</w:t>
            </w:r>
          </w:p>
        </w:tc>
        <w:tc>
          <w:tcPr>
            <w:tcW w:w="1275" w:type="dxa"/>
            <w:shd w:val="clear" w:color="auto" w:fill="auto"/>
          </w:tcPr>
          <w:p w:rsidR="00CC5390" w:rsidRPr="00C212F8" w:rsidRDefault="00CC5390" w:rsidP="00535795">
            <w:pPr>
              <w:autoSpaceDE w:val="0"/>
              <w:autoSpaceDN w:val="0"/>
              <w:adjustRightInd w:val="0"/>
            </w:pPr>
            <w:r w:rsidRPr="00C212F8">
              <w:t>Наличие</w:t>
            </w:r>
          </w:p>
        </w:tc>
        <w:tc>
          <w:tcPr>
            <w:tcW w:w="1561" w:type="dxa"/>
            <w:vMerge/>
            <w:shd w:val="clear" w:color="auto" w:fill="auto"/>
          </w:tcPr>
          <w:p w:rsidR="00CC5390" w:rsidRPr="00C212F8" w:rsidRDefault="00CC5390" w:rsidP="00535795">
            <w:pPr>
              <w:widowControl w:val="0"/>
              <w:suppressAutoHyphens/>
              <w:snapToGrid w:val="0"/>
              <w:jc w:val="center"/>
            </w:pPr>
          </w:p>
        </w:tc>
        <w:tc>
          <w:tcPr>
            <w:tcW w:w="850" w:type="dxa"/>
            <w:vMerge/>
            <w:shd w:val="clear" w:color="auto" w:fill="auto"/>
          </w:tcPr>
          <w:p w:rsidR="00CC5390" w:rsidRPr="00C212F8" w:rsidRDefault="00CC5390" w:rsidP="00535795">
            <w:pPr>
              <w:widowControl w:val="0"/>
              <w:suppressAutoHyphens/>
              <w:snapToGrid w:val="0"/>
              <w:jc w:val="center"/>
            </w:pPr>
          </w:p>
        </w:tc>
      </w:tr>
      <w:tr w:rsidR="00CC5390" w:rsidRPr="00C212F8" w:rsidTr="00535795">
        <w:tc>
          <w:tcPr>
            <w:tcW w:w="567" w:type="dxa"/>
            <w:vMerge/>
            <w:shd w:val="clear" w:color="auto" w:fill="auto"/>
          </w:tcPr>
          <w:p w:rsidR="00CC5390" w:rsidRPr="00C212F8" w:rsidRDefault="00CC5390" w:rsidP="00535795">
            <w:pPr>
              <w:widowControl w:val="0"/>
              <w:suppressAutoHyphens/>
              <w:snapToGrid w:val="0"/>
              <w:jc w:val="center"/>
            </w:pPr>
          </w:p>
        </w:tc>
        <w:tc>
          <w:tcPr>
            <w:tcW w:w="1844" w:type="dxa"/>
            <w:vMerge/>
            <w:shd w:val="clear" w:color="auto" w:fill="auto"/>
          </w:tcPr>
          <w:p w:rsidR="00CC5390" w:rsidRPr="00C212F8" w:rsidRDefault="00CC5390" w:rsidP="00535795">
            <w:pPr>
              <w:widowControl w:val="0"/>
              <w:suppressAutoHyphens/>
              <w:jc w:val="center"/>
            </w:pPr>
          </w:p>
        </w:tc>
        <w:tc>
          <w:tcPr>
            <w:tcW w:w="2551" w:type="dxa"/>
            <w:vMerge/>
            <w:shd w:val="clear" w:color="auto" w:fill="auto"/>
          </w:tcPr>
          <w:p w:rsidR="00CC5390" w:rsidRPr="00C212F8" w:rsidRDefault="00CC5390" w:rsidP="00535795">
            <w:pPr>
              <w:widowControl w:val="0"/>
              <w:suppressAutoHyphens/>
              <w:snapToGrid w:val="0"/>
            </w:pPr>
          </w:p>
        </w:tc>
        <w:tc>
          <w:tcPr>
            <w:tcW w:w="1843" w:type="dxa"/>
            <w:shd w:val="clear" w:color="auto" w:fill="auto"/>
          </w:tcPr>
          <w:p w:rsidR="00CC5390" w:rsidRPr="00C212F8" w:rsidRDefault="00CC5390" w:rsidP="00535795">
            <w:pPr>
              <w:autoSpaceDE w:val="0"/>
              <w:autoSpaceDN w:val="0"/>
              <w:adjustRightInd w:val="0"/>
            </w:pPr>
            <w:r w:rsidRPr="00C212F8">
              <w:t>Материал вкладной гильзы - листовой термопласт сверхмягкий (</w:t>
            </w:r>
            <w:proofErr w:type="spellStart"/>
            <w:r w:rsidRPr="00C212F8">
              <w:t>супрасофт</w:t>
            </w:r>
            <w:proofErr w:type="spellEnd"/>
            <w:r w:rsidRPr="00C212F8">
              <w:t>)</w:t>
            </w:r>
          </w:p>
        </w:tc>
        <w:tc>
          <w:tcPr>
            <w:tcW w:w="1275" w:type="dxa"/>
            <w:shd w:val="clear" w:color="auto" w:fill="auto"/>
          </w:tcPr>
          <w:p w:rsidR="00CC5390" w:rsidRPr="00C212F8" w:rsidRDefault="00CC5390" w:rsidP="00535795">
            <w:pPr>
              <w:autoSpaceDE w:val="0"/>
              <w:autoSpaceDN w:val="0"/>
              <w:adjustRightInd w:val="0"/>
            </w:pPr>
            <w:r w:rsidRPr="00C212F8">
              <w:t>Наличие</w:t>
            </w:r>
          </w:p>
        </w:tc>
        <w:tc>
          <w:tcPr>
            <w:tcW w:w="1561" w:type="dxa"/>
            <w:vMerge/>
            <w:shd w:val="clear" w:color="auto" w:fill="auto"/>
          </w:tcPr>
          <w:p w:rsidR="00CC5390" w:rsidRPr="00C212F8" w:rsidRDefault="00CC5390" w:rsidP="00535795">
            <w:pPr>
              <w:widowControl w:val="0"/>
              <w:suppressAutoHyphens/>
              <w:snapToGrid w:val="0"/>
              <w:jc w:val="center"/>
            </w:pPr>
          </w:p>
        </w:tc>
        <w:tc>
          <w:tcPr>
            <w:tcW w:w="850" w:type="dxa"/>
            <w:vMerge/>
            <w:shd w:val="clear" w:color="auto" w:fill="auto"/>
          </w:tcPr>
          <w:p w:rsidR="00CC5390" w:rsidRPr="00C212F8" w:rsidRDefault="00CC5390" w:rsidP="00535795">
            <w:pPr>
              <w:widowControl w:val="0"/>
              <w:suppressAutoHyphens/>
              <w:snapToGrid w:val="0"/>
              <w:jc w:val="center"/>
            </w:pPr>
          </w:p>
        </w:tc>
      </w:tr>
      <w:tr w:rsidR="00CC5390" w:rsidRPr="00C212F8" w:rsidTr="00535795">
        <w:tc>
          <w:tcPr>
            <w:tcW w:w="567" w:type="dxa"/>
            <w:vMerge/>
            <w:shd w:val="clear" w:color="auto" w:fill="auto"/>
          </w:tcPr>
          <w:p w:rsidR="00CC5390" w:rsidRPr="00C212F8" w:rsidRDefault="00CC5390" w:rsidP="00535795">
            <w:pPr>
              <w:widowControl w:val="0"/>
              <w:suppressAutoHyphens/>
              <w:snapToGrid w:val="0"/>
              <w:jc w:val="center"/>
            </w:pPr>
          </w:p>
        </w:tc>
        <w:tc>
          <w:tcPr>
            <w:tcW w:w="1844" w:type="dxa"/>
            <w:vMerge/>
            <w:shd w:val="clear" w:color="auto" w:fill="auto"/>
          </w:tcPr>
          <w:p w:rsidR="00CC5390" w:rsidRPr="00C212F8" w:rsidRDefault="00CC5390" w:rsidP="00535795">
            <w:pPr>
              <w:widowControl w:val="0"/>
              <w:suppressAutoHyphens/>
              <w:jc w:val="center"/>
            </w:pPr>
          </w:p>
        </w:tc>
        <w:tc>
          <w:tcPr>
            <w:tcW w:w="2551" w:type="dxa"/>
            <w:vMerge/>
            <w:shd w:val="clear" w:color="auto" w:fill="auto"/>
          </w:tcPr>
          <w:p w:rsidR="00CC5390" w:rsidRPr="00C212F8" w:rsidRDefault="00CC5390" w:rsidP="00535795">
            <w:pPr>
              <w:widowControl w:val="0"/>
              <w:suppressAutoHyphens/>
              <w:snapToGrid w:val="0"/>
            </w:pPr>
          </w:p>
        </w:tc>
        <w:tc>
          <w:tcPr>
            <w:tcW w:w="1843" w:type="dxa"/>
            <w:shd w:val="clear" w:color="auto" w:fill="auto"/>
          </w:tcPr>
          <w:p w:rsidR="00CC5390" w:rsidRPr="00C212F8" w:rsidRDefault="00CC5390" w:rsidP="00535795">
            <w:pPr>
              <w:autoSpaceDE w:val="0"/>
              <w:autoSpaceDN w:val="0"/>
              <w:adjustRightInd w:val="0"/>
            </w:pPr>
            <w:r w:rsidRPr="00C212F8">
              <w:rPr>
                <w:rFonts w:eastAsia="Arial Unicode MS"/>
              </w:rPr>
              <w:t xml:space="preserve">Максимальная нагрузка на </w:t>
            </w:r>
            <w:r w:rsidRPr="00C212F8">
              <w:t>регулировочно-соединительные устройства</w:t>
            </w:r>
          </w:p>
        </w:tc>
        <w:tc>
          <w:tcPr>
            <w:tcW w:w="1275" w:type="dxa"/>
            <w:shd w:val="clear" w:color="auto" w:fill="auto"/>
          </w:tcPr>
          <w:p w:rsidR="00CC5390" w:rsidRPr="00C212F8" w:rsidRDefault="00CC5390" w:rsidP="00535795">
            <w:pPr>
              <w:widowControl w:val="0"/>
              <w:suppressAutoHyphens/>
              <w:snapToGrid w:val="0"/>
            </w:pPr>
            <w:r>
              <w:t>Не менее 100 кг (включительно)</w:t>
            </w:r>
          </w:p>
        </w:tc>
        <w:tc>
          <w:tcPr>
            <w:tcW w:w="1561" w:type="dxa"/>
            <w:vMerge/>
            <w:shd w:val="clear" w:color="auto" w:fill="auto"/>
          </w:tcPr>
          <w:p w:rsidR="00CC5390" w:rsidRPr="00C212F8" w:rsidRDefault="00CC5390" w:rsidP="00535795">
            <w:pPr>
              <w:widowControl w:val="0"/>
              <w:suppressAutoHyphens/>
              <w:snapToGrid w:val="0"/>
              <w:jc w:val="center"/>
            </w:pPr>
          </w:p>
        </w:tc>
        <w:tc>
          <w:tcPr>
            <w:tcW w:w="850" w:type="dxa"/>
            <w:vMerge/>
            <w:shd w:val="clear" w:color="auto" w:fill="auto"/>
          </w:tcPr>
          <w:p w:rsidR="00CC5390" w:rsidRPr="00C212F8" w:rsidRDefault="00CC5390" w:rsidP="00535795">
            <w:pPr>
              <w:widowControl w:val="0"/>
              <w:suppressAutoHyphens/>
              <w:snapToGrid w:val="0"/>
              <w:jc w:val="center"/>
            </w:pPr>
          </w:p>
        </w:tc>
      </w:tr>
      <w:tr w:rsidR="00CC5390" w:rsidRPr="00C212F8" w:rsidTr="00535795">
        <w:tc>
          <w:tcPr>
            <w:tcW w:w="567" w:type="dxa"/>
            <w:vMerge/>
            <w:shd w:val="clear" w:color="auto" w:fill="auto"/>
          </w:tcPr>
          <w:p w:rsidR="00CC5390" w:rsidRPr="00C212F8" w:rsidRDefault="00CC5390" w:rsidP="00535795">
            <w:pPr>
              <w:widowControl w:val="0"/>
              <w:suppressAutoHyphens/>
              <w:snapToGrid w:val="0"/>
              <w:jc w:val="center"/>
            </w:pPr>
          </w:p>
        </w:tc>
        <w:tc>
          <w:tcPr>
            <w:tcW w:w="1844" w:type="dxa"/>
            <w:vMerge/>
            <w:shd w:val="clear" w:color="auto" w:fill="auto"/>
          </w:tcPr>
          <w:p w:rsidR="00CC5390" w:rsidRPr="00C212F8" w:rsidRDefault="00CC5390" w:rsidP="00535795">
            <w:pPr>
              <w:widowControl w:val="0"/>
              <w:suppressAutoHyphens/>
              <w:jc w:val="center"/>
            </w:pPr>
          </w:p>
        </w:tc>
        <w:tc>
          <w:tcPr>
            <w:tcW w:w="2551" w:type="dxa"/>
            <w:vMerge/>
            <w:shd w:val="clear" w:color="auto" w:fill="auto"/>
          </w:tcPr>
          <w:p w:rsidR="00CC5390" w:rsidRPr="00C212F8" w:rsidRDefault="00CC5390" w:rsidP="00535795">
            <w:pPr>
              <w:widowControl w:val="0"/>
              <w:suppressAutoHyphens/>
              <w:snapToGrid w:val="0"/>
            </w:pPr>
          </w:p>
        </w:tc>
        <w:tc>
          <w:tcPr>
            <w:tcW w:w="1843" w:type="dxa"/>
            <w:shd w:val="clear" w:color="auto" w:fill="auto"/>
          </w:tcPr>
          <w:p w:rsidR="00CC5390" w:rsidRPr="00C212F8" w:rsidRDefault="00CC5390" w:rsidP="00535795">
            <w:pPr>
              <w:autoSpaceDE w:val="0"/>
              <w:autoSpaceDN w:val="0"/>
              <w:adjustRightInd w:val="0"/>
            </w:pPr>
            <w:r w:rsidRPr="00C212F8">
              <w:t>Материал формообразующей части облицовки</w:t>
            </w:r>
          </w:p>
        </w:tc>
        <w:tc>
          <w:tcPr>
            <w:tcW w:w="1275" w:type="dxa"/>
            <w:shd w:val="clear" w:color="auto" w:fill="auto"/>
          </w:tcPr>
          <w:p w:rsidR="00CC5390" w:rsidRPr="00C212F8" w:rsidRDefault="00CC5390" w:rsidP="00535795">
            <w:pPr>
              <w:widowControl w:val="0"/>
              <w:suppressAutoHyphens/>
              <w:snapToGrid w:val="0"/>
            </w:pPr>
            <w:r w:rsidRPr="004B6529">
              <w:t>Полиуретан</w:t>
            </w:r>
          </w:p>
        </w:tc>
        <w:tc>
          <w:tcPr>
            <w:tcW w:w="1561" w:type="dxa"/>
            <w:vMerge/>
            <w:shd w:val="clear" w:color="auto" w:fill="auto"/>
          </w:tcPr>
          <w:p w:rsidR="00CC5390" w:rsidRPr="00C212F8" w:rsidRDefault="00CC5390" w:rsidP="00535795">
            <w:pPr>
              <w:widowControl w:val="0"/>
              <w:suppressAutoHyphens/>
              <w:snapToGrid w:val="0"/>
              <w:jc w:val="center"/>
            </w:pPr>
          </w:p>
        </w:tc>
        <w:tc>
          <w:tcPr>
            <w:tcW w:w="850" w:type="dxa"/>
            <w:vMerge/>
            <w:shd w:val="clear" w:color="auto" w:fill="auto"/>
          </w:tcPr>
          <w:p w:rsidR="00CC5390" w:rsidRPr="00C212F8" w:rsidRDefault="00CC5390" w:rsidP="00535795">
            <w:pPr>
              <w:widowControl w:val="0"/>
              <w:suppressAutoHyphens/>
              <w:snapToGrid w:val="0"/>
              <w:jc w:val="center"/>
            </w:pPr>
          </w:p>
        </w:tc>
      </w:tr>
    </w:tbl>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CC5390" w:rsidRDefault="00CC5390" w:rsidP="00CC5390">
      <w:pPr>
        <w:widowControl w:val="0"/>
        <w:jc w:val="both"/>
      </w:pPr>
    </w:p>
    <w:p w:rsidR="006C0400" w:rsidRDefault="006C0400">
      <w:bookmarkStart w:id="0" w:name="_GoBack"/>
      <w:bookmarkEnd w:id="0"/>
    </w:p>
    <w:sectPr w:rsidR="006C04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68" w:rsidRDefault="00FA6568" w:rsidP="00CC5390">
      <w:r>
        <w:separator/>
      </w:r>
    </w:p>
  </w:endnote>
  <w:endnote w:type="continuationSeparator" w:id="0">
    <w:p w:rsidR="00FA6568" w:rsidRDefault="00FA6568" w:rsidP="00CC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68" w:rsidRDefault="00FA6568" w:rsidP="00CC5390">
      <w:r>
        <w:separator/>
      </w:r>
    </w:p>
  </w:footnote>
  <w:footnote w:type="continuationSeparator" w:id="0">
    <w:p w:rsidR="00FA6568" w:rsidRDefault="00FA6568" w:rsidP="00CC5390">
      <w:r>
        <w:continuationSeparator/>
      </w:r>
    </w:p>
  </w:footnote>
  <w:footnote w:id="1">
    <w:p w:rsidR="00CC5390" w:rsidRPr="004D2FEC" w:rsidRDefault="00CC5390" w:rsidP="00CC5390">
      <w:pPr>
        <w:autoSpaceDE w:val="0"/>
        <w:autoSpaceDN w:val="0"/>
        <w:adjustRightInd w:val="0"/>
        <w:ind w:firstLine="539"/>
        <w:jc w:val="both"/>
        <w:rPr>
          <w:sz w:val="20"/>
          <w:szCs w:val="20"/>
        </w:rPr>
      </w:pPr>
      <w:r>
        <w:rPr>
          <w:rStyle w:val="a5"/>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CC5390" w:rsidRDefault="00CC5390" w:rsidP="00CC5390">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82"/>
    <w:rsid w:val="00371882"/>
    <w:rsid w:val="006C0400"/>
    <w:rsid w:val="00CC5390"/>
    <w:rsid w:val="00FA6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51999-3260-4087-8544-F03B1243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C5390"/>
    <w:rPr>
      <w:sz w:val="20"/>
      <w:szCs w:val="20"/>
    </w:rPr>
  </w:style>
  <w:style w:type="character" w:customStyle="1" w:styleId="a4">
    <w:name w:val="Текст сноски Знак"/>
    <w:basedOn w:val="a0"/>
    <w:link w:val="a3"/>
    <w:semiHidden/>
    <w:rsid w:val="00CC5390"/>
    <w:rPr>
      <w:rFonts w:ascii="Times New Roman" w:eastAsia="Times New Roman" w:hAnsi="Times New Roman" w:cs="Times New Roman"/>
      <w:sz w:val="20"/>
      <w:szCs w:val="20"/>
      <w:lang w:eastAsia="ru-RU"/>
    </w:rPr>
  </w:style>
  <w:style w:type="character" w:styleId="a5">
    <w:name w:val="footnote reference"/>
    <w:semiHidden/>
    <w:rsid w:val="00CC5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Пинаевская</dc:creator>
  <cp:keywords/>
  <dc:description/>
  <cp:lastModifiedBy>Марина Пинаевская</cp:lastModifiedBy>
  <cp:revision>2</cp:revision>
  <dcterms:created xsi:type="dcterms:W3CDTF">2018-10-01T12:17:00Z</dcterms:created>
  <dcterms:modified xsi:type="dcterms:W3CDTF">2018-10-01T12:19:00Z</dcterms:modified>
</cp:coreProperties>
</file>