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E" w:rsidRPr="003A48B2" w:rsidRDefault="0026282E" w:rsidP="0026282E">
      <w:pPr>
        <w:pStyle w:val="a3"/>
        <w:keepNext/>
        <w:autoSpaceDE w:val="0"/>
        <w:spacing w:after="0"/>
        <w:jc w:val="both"/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</w:pPr>
      <w:r w:rsidRPr="003A48B2"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  <w:t>Описание объекта закупки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6282E" w:rsidRDefault="0026282E" w:rsidP="0026282E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26282E" w:rsidRPr="0076389A" w:rsidRDefault="0026282E" w:rsidP="0026282E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>
        <w:t xml:space="preserve">, </w:t>
      </w:r>
      <w:r w:rsidRPr="0076389A">
        <w:rPr>
          <w:spacing w:val="1"/>
        </w:rPr>
        <w:t xml:space="preserve">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>
        <w:t xml:space="preserve">должны </w:t>
      </w:r>
      <w:r w:rsidRPr="00CE0BB1">
        <w:t>состоят</w:t>
      </w:r>
      <w:r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proofErr w:type="gramStart"/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(для втянутых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</w:t>
      </w:r>
      <w:proofErr w:type="spellStart"/>
      <w:r w:rsidRPr="00CE0BB1">
        <w:t>адгезивными</w:t>
      </w:r>
      <w:proofErr w:type="spellEnd"/>
      <w:r w:rsidRPr="00CE0BB1">
        <w:t xml:space="preserve">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</w:t>
      </w:r>
      <w:proofErr w:type="gramEnd"/>
      <w:r w:rsidRPr="00CE0BB1">
        <w:t xml:space="preserve">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26282E" w:rsidRDefault="0026282E" w:rsidP="0026282E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26282E" w:rsidRPr="00981F38" w:rsidRDefault="0026282E" w:rsidP="0026282E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26282E" w:rsidRPr="00981F38" w:rsidRDefault="0026282E" w:rsidP="0026282E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26282E" w:rsidRPr="00981F38" w:rsidRDefault="0026282E" w:rsidP="0026282E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6282E" w:rsidRPr="00981F38" w:rsidRDefault="0026282E" w:rsidP="0026282E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6282E" w:rsidRPr="00981F38" w:rsidRDefault="0026282E" w:rsidP="0026282E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>
        <w:t xml:space="preserve">  нарушениях функций выделения </w:t>
      </w:r>
      <w:r w:rsidRPr="00CE0BB1">
        <w:t>должна включать: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lastRenderedPageBreak/>
        <w:t>- условное обозначение группы изделий, товарную марку (при наличии), обозначение номера изделия (при наличии);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- страну-изготовителя;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26282E" w:rsidRPr="00CE0BB1" w:rsidRDefault="0026282E" w:rsidP="0026282E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26282E" w:rsidRPr="00CE0BB1" w:rsidRDefault="0026282E" w:rsidP="0026282E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26282E" w:rsidRPr="00CE0BB1" w:rsidRDefault="0026282E" w:rsidP="0026282E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26282E" w:rsidRPr="002253B3" w:rsidRDefault="0026282E" w:rsidP="0026282E">
      <w:pPr>
        <w:pStyle w:val="a5"/>
        <w:keepNext/>
        <w:numPr>
          <w:ilvl w:val="0"/>
          <w:numId w:val="1"/>
        </w:numPr>
        <w:tabs>
          <w:tab w:val="clear" w:pos="432"/>
        </w:tabs>
        <w:ind w:left="0" w:firstLine="709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476C2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26282E" w:rsidRDefault="0026282E" w:rsidP="0026282E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ind w:left="0" w:firstLine="680"/>
        <w:jc w:val="both"/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6282E" w:rsidRPr="00CE0BB1" w:rsidRDefault="0026282E" w:rsidP="0026282E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26282E" w:rsidRPr="00CE0BB1" w:rsidRDefault="0026282E" w:rsidP="0026282E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26282E" w:rsidRPr="00942E50" w:rsidRDefault="0026282E" w:rsidP="0026282E">
      <w:pPr>
        <w:pStyle w:val="a5"/>
        <w:keepNext/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26282E" w:rsidRDefault="0026282E" w:rsidP="0026282E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7" w:type="dxa"/>
        <w:tblInd w:w="108" w:type="dxa"/>
        <w:tblLayout w:type="fixed"/>
        <w:tblLook w:val="0000"/>
      </w:tblPr>
      <w:tblGrid>
        <w:gridCol w:w="2410"/>
        <w:gridCol w:w="6804"/>
        <w:gridCol w:w="993"/>
      </w:tblGrid>
      <w:tr w:rsidR="0026282E" w:rsidRPr="00BB6218" w:rsidTr="00307EFA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82E" w:rsidRPr="00BB6218" w:rsidRDefault="0026282E" w:rsidP="00307EFA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82E" w:rsidRPr="00BB6218" w:rsidRDefault="0026282E" w:rsidP="00307EFA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2E" w:rsidRPr="00BB6218" w:rsidRDefault="0026282E" w:rsidP="00307EFA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</w:tr>
      <w:tr w:rsidR="0026282E" w:rsidRPr="00E03576" w:rsidTr="00307EFA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26282E" w:rsidRPr="00770355" w:rsidRDefault="0026282E" w:rsidP="00307EFA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есн</w:t>
            </w:r>
            <w:r w:rsidRPr="00770355">
              <w:rPr>
                <w:sz w:val="21"/>
                <w:szCs w:val="21"/>
              </w:rPr>
              <w:t>ого цвета с другой стороны, без подложки  с обеих сторон.</w:t>
            </w:r>
          </w:p>
          <w:p w:rsidR="0026282E" w:rsidRPr="00770355" w:rsidRDefault="0026282E" w:rsidP="00307EFA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26282E" w:rsidRPr="00770355" w:rsidRDefault="0026282E" w:rsidP="00307EFA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lastRenderedPageBreak/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lastRenderedPageBreak/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</w:t>
            </w: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lastRenderedPageBreak/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lastRenderedPageBreak/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r>
              <w:rPr>
                <w:sz w:val="22"/>
                <w:szCs w:val="22"/>
              </w:rPr>
              <w:lastRenderedPageBreak/>
              <w:t>компонентногокалоприемника</w:t>
            </w:r>
            <w:r w:rsidRPr="00770355">
              <w:rPr>
                <w:sz w:val="21"/>
                <w:szCs w:val="21"/>
              </w:rPr>
              <w:t xml:space="preserve">должна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lastRenderedPageBreak/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t>компонентногоуроприемника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B2E4F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</w:p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Пластина должна быть гибкая</w:t>
            </w:r>
            <w:proofErr w:type="gramStart"/>
            <w:r w:rsidRPr="00397F83"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>л</w:t>
            </w:r>
            <w:proofErr w:type="gramEnd"/>
            <w:r w:rsidRPr="00770355">
              <w:rPr>
                <w:sz w:val="21"/>
                <w:szCs w:val="21"/>
              </w:rPr>
              <w:t>егко адаптир</w:t>
            </w:r>
            <w:r>
              <w:rPr>
                <w:sz w:val="21"/>
                <w:szCs w:val="21"/>
              </w:rPr>
              <w:t>оваться</w:t>
            </w:r>
            <w:r w:rsidRPr="00770355">
              <w:rPr>
                <w:sz w:val="21"/>
                <w:szCs w:val="21"/>
              </w:rPr>
              <w:t xml:space="preserve">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</w:t>
            </w:r>
            <w:proofErr w:type="gramStart"/>
            <w:r w:rsidRPr="00770355">
              <w:rPr>
                <w:sz w:val="21"/>
                <w:szCs w:val="21"/>
              </w:rPr>
              <w:t>-н</w:t>
            </w:r>
            <w:proofErr w:type="gramEnd"/>
            <w:r w:rsidRPr="00770355">
              <w:rPr>
                <w:sz w:val="21"/>
                <w:szCs w:val="21"/>
              </w:rPr>
              <w:t xml:space="preserve">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</w:p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Пластина долж</w:t>
            </w:r>
            <w:r>
              <w:rPr>
                <w:sz w:val="21"/>
                <w:szCs w:val="21"/>
              </w:rPr>
              <w:t>на</w:t>
            </w:r>
            <w:r w:rsidRPr="00770355">
              <w:rPr>
                <w:sz w:val="21"/>
                <w:szCs w:val="21"/>
              </w:rPr>
              <w:t xml:space="preserve">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8A4EED" w:rsidRDefault="0026282E" w:rsidP="00307EFA">
            <w:pPr>
              <w:keepNext/>
              <w:autoSpaceDE w:val="0"/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>фланцем размером не менее 40 мм – не более 60 мм для крепления мешка, соответствующим 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8A4EED" w:rsidRDefault="0026282E" w:rsidP="00307EFA">
            <w:pPr>
              <w:keepNext/>
              <w:autoSpaceDE w:val="0"/>
            </w:pPr>
            <w:proofErr w:type="spellStart"/>
            <w:r w:rsidRPr="008A4EED">
              <w:rPr>
                <w:sz w:val="22"/>
                <w:szCs w:val="22"/>
              </w:rPr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Уростомныймешок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B2E4F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282E" w:rsidRPr="00CA020B" w:rsidRDefault="0026282E" w:rsidP="00307EFA">
            <w:pPr>
              <w:keepNext/>
              <w:autoSpaceDE w:val="0"/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82E" w:rsidRPr="007B2E4F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CA020B" w:rsidRDefault="0026282E" w:rsidP="00307EFA">
            <w:pPr>
              <w:keepNext/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770355" w:rsidRDefault="0026282E" w:rsidP="00307EFA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на </w:t>
            </w:r>
            <w:proofErr w:type="spellStart"/>
            <w:r w:rsidRPr="00770355">
              <w:rPr>
                <w:sz w:val="21"/>
                <w:szCs w:val="21"/>
              </w:rPr>
              <w:t>большуюстому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неразъемный, со встроенной адгезивной пластиной из 100%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вырезаемым отверстием не менее 100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>. Пластина должна быть гибкая,  легко адаптироваться  к форме живота.</w:t>
            </w:r>
          </w:p>
          <w:p w:rsidR="0026282E" w:rsidRPr="00770355" w:rsidRDefault="0026282E" w:rsidP="00307EFA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более чем четырехслойного  полиэтилена с сетчатой подложкой. Объем мешка не менее 845 мл. </w:t>
            </w:r>
            <w:r w:rsidRPr="00770355">
              <w:rPr>
                <w:sz w:val="21"/>
                <w:szCs w:val="21"/>
              </w:rPr>
              <w:lastRenderedPageBreak/>
              <w:t xml:space="preserve">Должен быть фиксатор–зажим в комплекте (не менее 1 </w:t>
            </w:r>
            <w:proofErr w:type="gramStart"/>
            <w:r w:rsidRPr="00770355">
              <w:rPr>
                <w:sz w:val="21"/>
                <w:szCs w:val="21"/>
              </w:rPr>
              <w:t>многоразового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пластмассового на 10 шт., и не менее 1 одноразового самоклеящегося гибкого на каждый мешок).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B60A80" w:rsidRDefault="0026282E" w:rsidP="00307EFA">
            <w:pPr>
              <w:keepNext/>
            </w:pPr>
            <w:r w:rsidRPr="003E1030">
              <w:rPr>
                <w:sz w:val="22"/>
                <w:szCs w:val="22"/>
              </w:rPr>
              <w:lastRenderedPageBreak/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09778A" w:rsidRDefault="0026282E" w:rsidP="00307EF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CH – 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282E" w:rsidRPr="006918CB" w:rsidRDefault="0026282E" w:rsidP="00307EFA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2E5B8E" w:rsidRDefault="0026282E" w:rsidP="00307EFA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12-32,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282E" w:rsidRPr="006918CB" w:rsidRDefault="0026282E" w:rsidP="00307EFA">
            <w:pPr>
              <w:keepNext/>
              <w:autoSpaceDE w:val="0"/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82E" w:rsidRPr="002E5B8E" w:rsidRDefault="0026282E" w:rsidP="00307EFA">
            <w:pPr>
              <w:keepNext/>
              <w:autoSpaceDE w:val="0"/>
              <w:jc w:val="both"/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26282E" w:rsidRPr="002E5B8E" w:rsidRDefault="0026282E" w:rsidP="00307EFA">
            <w:pPr>
              <w:keepNext/>
              <w:autoSpaceDE w:val="0"/>
              <w:jc w:val="both"/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282E" w:rsidRPr="006918CB" w:rsidRDefault="0026282E" w:rsidP="00307EFA">
            <w:pPr>
              <w:keepNext/>
              <w:autoSpaceDE w:val="0"/>
            </w:pPr>
            <w:r w:rsidRPr="004F0155">
              <w:rPr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4F0155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82E" w:rsidRPr="0009778A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Катетер мочеточниковый </w:t>
            </w:r>
            <w:proofErr w:type="spellStart"/>
            <w:r w:rsidRPr="0009778A">
              <w:rPr>
                <w:sz w:val="21"/>
                <w:szCs w:val="21"/>
              </w:rPr>
              <w:t>нефростомический</w:t>
            </w:r>
            <w:proofErr w:type="spellEnd"/>
            <w:r w:rsidRPr="0009778A">
              <w:rPr>
                <w:sz w:val="21"/>
                <w:szCs w:val="21"/>
              </w:rPr>
              <w:t xml:space="preserve"> должен быть в форме </w:t>
            </w:r>
            <w:proofErr w:type="spellStart"/>
            <w:r w:rsidRPr="0009778A">
              <w:rPr>
                <w:sz w:val="21"/>
                <w:szCs w:val="21"/>
              </w:rPr>
              <w:t>Pigtail</w:t>
            </w:r>
            <w:proofErr w:type="spellEnd"/>
            <w:r w:rsidRPr="0009778A">
              <w:rPr>
                <w:sz w:val="21"/>
                <w:szCs w:val="21"/>
              </w:rPr>
              <w:t xml:space="preserve"> </w:t>
            </w:r>
            <w:proofErr w:type="spellStart"/>
            <w:r w:rsidRPr="0009778A">
              <w:rPr>
                <w:sz w:val="21"/>
                <w:szCs w:val="21"/>
              </w:rPr>
              <w:t>c</w:t>
            </w:r>
            <w:proofErr w:type="spellEnd"/>
            <w:r w:rsidRPr="0009778A">
              <w:rPr>
                <w:sz w:val="21"/>
                <w:szCs w:val="21"/>
              </w:rPr>
              <w:t xml:space="preserve"> </w:t>
            </w:r>
            <w:proofErr w:type="spellStart"/>
            <w:r w:rsidRPr="0009778A">
              <w:rPr>
                <w:sz w:val="21"/>
                <w:szCs w:val="21"/>
              </w:rPr>
              <w:t>атравматическими</w:t>
            </w:r>
            <w:proofErr w:type="spellEnd"/>
            <w:r w:rsidRPr="0009778A">
              <w:rPr>
                <w:sz w:val="21"/>
                <w:szCs w:val="21"/>
              </w:rPr>
              <w:t xml:space="preserve"> отверстиями на одном конце из полиуретана, закрытого типа. Должна быть гладкая поверхность для уменьшения образования инкрустации.  </w:t>
            </w:r>
          </w:p>
          <w:p w:rsidR="0026282E" w:rsidRPr="0009778A" w:rsidRDefault="0026282E" w:rsidP="00307EFA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Длина не менее 90 см. Должен быть спиральный стилет-струна из нержавеющей  стали, с тефлоновым покрытием и длиной не менее 150 см. Должен быть гибкий сердечник, пластиковый зажим. Стерильно. Размер </w:t>
            </w:r>
            <w:proofErr w:type="gramStart"/>
            <w:r w:rsidRPr="0009778A">
              <w:rPr>
                <w:sz w:val="21"/>
                <w:szCs w:val="21"/>
              </w:rPr>
              <w:t>C</w:t>
            </w:r>
            <w:proofErr w:type="gramEnd"/>
            <w:r w:rsidRPr="0009778A">
              <w:rPr>
                <w:sz w:val="21"/>
                <w:szCs w:val="21"/>
              </w:rPr>
              <w:t>Н 7-12.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E13368" w:rsidRDefault="0026282E" w:rsidP="00307EFA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E13368" w:rsidRDefault="0026282E" w:rsidP="00307EFA">
            <w:pPr>
              <w:keepNext/>
              <w:autoSpaceDE w:val="0"/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jc w:val="both"/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E13368" w:rsidRDefault="0026282E" w:rsidP="00307EFA">
            <w:pPr>
              <w:keepNext/>
              <w:autoSpaceDE w:val="0"/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Default="0026282E" w:rsidP="00307EFA">
            <w:pPr>
              <w:keepNext/>
              <w:autoSpaceDE w:val="0"/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2E" w:rsidRPr="00E13368" w:rsidRDefault="0026282E" w:rsidP="00307EFA">
            <w:pPr>
              <w:keepNext/>
              <w:autoSpaceDE w:val="0"/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282E" w:rsidRPr="00E13368" w:rsidRDefault="0026282E" w:rsidP="00307EFA">
            <w:pPr>
              <w:keepNext/>
              <w:autoSpaceDE w:val="0"/>
            </w:pPr>
            <w:r>
              <w:rPr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стомыпредназначен</w:t>
            </w:r>
            <w:proofErr w:type="spellEnd"/>
            <w:r w:rsidRPr="00F66742">
              <w:rPr>
                <w:sz w:val="22"/>
                <w:szCs w:val="22"/>
              </w:rPr>
              <w:t xml:space="preserve"> для защиты мокнущей кожи. Должен впитывать влагу, создавать поверхность, на которую можно приклеить пластину или калоприемник.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E" w:rsidRPr="00E13368" w:rsidRDefault="0026282E" w:rsidP="00307EFA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lastRenderedPageBreak/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E03576" w:rsidTr="00307EFA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E" w:rsidRPr="00E13368" w:rsidRDefault="0026282E" w:rsidP="00307EFA">
            <w:pPr>
              <w:keepNext/>
              <w:autoSpaceDE w:val="0"/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2E" w:rsidRPr="00F66742" w:rsidRDefault="0026282E" w:rsidP="00307EFA">
            <w:pPr>
              <w:keepNext/>
              <w:autoSpaceDE w:val="0"/>
              <w:ind w:firstLine="34"/>
              <w:jc w:val="both"/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color w:val="000000"/>
              </w:rPr>
            </w:pPr>
          </w:p>
        </w:tc>
      </w:tr>
      <w:tr w:rsidR="0026282E" w:rsidRPr="00CA020B" w:rsidTr="00307EFA">
        <w:trPr>
          <w:trHeight w:val="2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E" w:rsidRPr="00CA020B" w:rsidRDefault="0026282E" w:rsidP="00307EFA">
            <w:pPr>
              <w:keepNext/>
              <w:autoSpaceDE w:val="0"/>
              <w:ind w:firstLine="34"/>
              <w:jc w:val="right"/>
            </w:pPr>
            <w:r w:rsidRPr="00CA020B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2E" w:rsidRPr="004D0487" w:rsidRDefault="0026282E" w:rsidP="00307EFA">
            <w:pPr>
              <w:jc w:val="center"/>
              <w:rPr>
                <w:bCs/>
                <w:color w:val="000000"/>
              </w:rPr>
            </w:pPr>
          </w:p>
        </w:tc>
      </w:tr>
    </w:tbl>
    <w:p w:rsidR="00B46D95" w:rsidRPr="00553F7B" w:rsidRDefault="00553F7B">
      <w:pPr>
        <w:rPr>
          <w:sz w:val="22"/>
          <w:szCs w:val="22"/>
        </w:rPr>
      </w:pPr>
      <w:bookmarkStart w:id="0" w:name="_GoBack"/>
      <w:bookmarkEnd w:id="0"/>
      <w:r w:rsidRPr="00553F7B">
        <w:rPr>
          <w:sz w:val="22"/>
          <w:szCs w:val="22"/>
        </w:rPr>
        <w:t>Планируемый срок размещения закупки – ноябрь 2018 года.</w:t>
      </w:r>
    </w:p>
    <w:p w:rsidR="00553F7B" w:rsidRPr="00553F7B" w:rsidRDefault="00553F7B">
      <w:pPr>
        <w:rPr>
          <w:sz w:val="22"/>
          <w:szCs w:val="22"/>
        </w:rPr>
      </w:pPr>
    </w:p>
    <w:sectPr w:rsidR="00553F7B" w:rsidRPr="00553F7B" w:rsidSect="0026282E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282E"/>
    <w:rsid w:val="0026282E"/>
    <w:rsid w:val="00553F7B"/>
    <w:rsid w:val="00743E7C"/>
    <w:rsid w:val="00B4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82E"/>
    <w:pPr>
      <w:spacing w:after="120"/>
    </w:pPr>
  </w:style>
  <w:style w:type="character" w:customStyle="1" w:styleId="a4">
    <w:name w:val="Основной текст Знак"/>
    <w:basedOn w:val="a0"/>
    <w:link w:val="a3"/>
    <w:rsid w:val="002628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2628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82E"/>
    <w:pPr>
      <w:spacing w:after="120"/>
    </w:pPr>
  </w:style>
  <w:style w:type="character" w:customStyle="1" w:styleId="a4">
    <w:name w:val="Основной текст Знак"/>
    <w:basedOn w:val="a0"/>
    <w:link w:val="a3"/>
    <w:rsid w:val="002628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2628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2018-10-31T10:43:00Z</dcterms:created>
  <dcterms:modified xsi:type="dcterms:W3CDTF">2018-11-19T11:51:00Z</dcterms:modified>
</cp:coreProperties>
</file>