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20" w:rsidRPr="00F20419" w:rsidRDefault="00902220" w:rsidP="00902220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Техническое задание</w:t>
      </w:r>
    </w:p>
    <w:p w:rsidR="00902220" w:rsidRPr="00F20419" w:rsidRDefault="00902220" w:rsidP="00902220">
      <w:pPr>
        <w:widowControl/>
        <w:suppressAutoHyphens w:val="0"/>
        <w:autoSpaceDE w:val="0"/>
        <w:ind w:firstLine="0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на поставку инвалидам Абсорбирующего белья: впитывающие простыни (пеленки)</w:t>
      </w:r>
    </w:p>
    <w:p w:rsidR="00902220" w:rsidRPr="00F20419" w:rsidRDefault="00902220" w:rsidP="00902220">
      <w:pPr>
        <w:widowControl/>
        <w:suppressAutoHyphens w:val="0"/>
        <w:autoSpaceDE w:val="0"/>
        <w:ind w:firstLine="0"/>
        <w:jc w:val="right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Таблица №1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1"/>
        <w:gridCol w:w="817"/>
        <w:gridCol w:w="1175"/>
      </w:tblGrid>
      <w:tr w:rsidR="00902220" w:rsidRPr="00F20419" w:rsidTr="005E60F5">
        <w:trPr>
          <w:trHeight w:val="143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Ед. изм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Кол-во (шт.)</w:t>
            </w:r>
          </w:p>
        </w:tc>
      </w:tr>
      <w:tr w:rsidR="00902220" w:rsidRPr="00F20419" w:rsidTr="005E60F5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 изделия (модель, шифр)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</w:tr>
      <w:tr w:rsidR="00902220" w:rsidRPr="00F20419" w:rsidTr="005E60F5">
        <w:trPr>
          <w:trHeight w:val="10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0" w:rsidRPr="00F20419" w:rsidRDefault="00902220" w:rsidP="005E60F5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Впитывающие простыни (пеленки)</w:t>
            </w:r>
          </w:p>
          <w:p w:rsidR="00902220" w:rsidRPr="00F20419" w:rsidRDefault="00902220" w:rsidP="005E60F5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размером не менее 60*90 см</w:t>
            </w:r>
          </w:p>
          <w:p w:rsidR="00902220" w:rsidRPr="00F20419" w:rsidRDefault="00902220" w:rsidP="005E60F5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(впитываемость от 1200 до  1900 мл включительно)</w:t>
            </w:r>
          </w:p>
          <w:p w:rsidR="00902220" w:rsidRPr="00F20419" w:rsidRDefault="00902220" w:rsidP="005E60F5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 заявке необходимо указать</w:t>
            </w:r>
          </w:p>
          <w:p w:rsidR="00902220" w:rsidRPr="00F20419" w:rsidRDefault="00902220" w:rsidP="005E60F5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точную впитываемость.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Впитывающие простыни (пеленки) представляет собой многослойное изделие, состоящее из нескольких слоёв: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нижний слой-  непропускающая влагу нескользящая пленка, впитывающий слой -распушенная целлюлоза,  которая может содержать абсрбент, верхний слой- мягкий нетканый материал.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Функциональным предназначением впитывающей простыни является   обеспечение впитывания мочи для  дополнительной защиты постели и/или сиденья от намокания. Рабочая поверхность простыни должна оставаться  сухой на протяжении всего периода использования простыни, впитанная жидкость не  должна выделяться наружу.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Во впитывающих простынях (пелёнках) не должны  допускаться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Сырье и материалы для изготовления впитывающих простыней (пеленок)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разрешено  к импорту, продаже и применению на территории Российской Федерации. (прикрепить копии ко вторым частям заявки)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Обеспечение получателя изделиями осуществляется в течение 10 (десяти) календарных дней со дня выдачи реестров получателей ТСР Заказчиком Поставщику.</w:t>
            </w:r>
          </w:p>
          <w:p w:rsidR="00902220" w:rsidRPr="00F20419" w:rsidRDefault="00902220" w:rsidP="005E60F5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Изделия должны быть изготовлены не ранее 201</w:t>
            </w:r>
            <w:r>
              <w:rPr>
                <w:rFonts w:eastAsia="Times New Roman"/>
                <w:sz w:val="24"/>
                <w:szCs w:val="24"/>
                <w:lang w:eastAsia="en-US" w:bidi="ar-SA"/>
              </w:rPr>
              <w:t>5</w:t>
            </w: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года.</w:t>
            </w:r>
          </w:p>
          <w:p w:rsidR="00902220" w:rsidRPr="00F20419" w:rsidRDefault="00902220" w:rsidP="005E60F5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lang w:eastAsia="ar-SA" w:bidi="ar-SA"/>
              </w:rPr>
              <w:t>шт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150000</w:t>
            </w:r>
          </w:p>
        </w:tc>
      </w:tr>
      <w:tr w:rsidR="00902220" w:rsidRPr="00F20419" w:rsidTr="005E60F5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20" w:rsidRPr="00F20419" w:rsidRDefault="00902220" w:rsidP="005E60F5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20" w:rsidRPr="00F20419" w:rsidRDefault="00902220" w:rsidP="005E60F5">
            <w:pPr>
              <w:widowControl/>
              <w:ind w:firstLine="0"/>
              <w:jc w:val="both"/>
              <w:rPr>
                <w:rFonts w:eastAsia="Arial"/>
                <w:b/>
                <w:lang w:eastAsia="ar-SA" w:bidi="ar-SA"/>
              </w:rPr>
            </w:pPr>
            <w:r w:rsidRPr="00F20419">
              <w:rPr>
                <w:rFonts w:eastAsia="Arial"/>
                <w:b/>
                <w:lang w:eastAsia="ar-SA" w:bidi="ar-SA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20" w:rsidRPr="00F20419" w:rsidRDefault="00902220" w:rsidP="005E60F5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150000</w:t>
            </w:r>
          </w:p>
        </w:tc>
      </w:tr>
    </w:tbl>
    <w:p w:rsidR="00902220" w:rsidRPr="00F20419" w:rsidRDefault="00902220" w:rsidP="00902220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Cs/>
          <w:sz w:val="24"/>
          <w:szCs w:val="24"/>
          <w:lang w:eastAsia="ru-RU" w:bidi="ar-SA"/>
        </w:rPr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902220" w:rsidRPr="00F20419" w:rsidRDefault="00902220" w:rsidP="00902220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Требования к упаковке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lastRenderedPageBreak/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Маркировка упаковки должна быть нанесена на русском языке и должна содержать: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-обозначение впитываемости изделия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страны-изготовителя;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предприятия-изготовителя, юридический адрес, товарный знак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отличительные характеристики изделий в соответствии с их техническим исполнением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номер артикула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количество изделий в упаковке;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дату (месяц, год) изготовления;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гарантийный срок годности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указания по утилизации: "Не бросать в канализацию";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правила использования (при необходимости);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штриховой код изделия (при наличии);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информацию о добровольной сертификации (при наличии).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Изделия должны быть упакованы в тару, обеспечивающую сохранность при транспортировании и хранении.  Впитывающие простыни (пеленки) упаковывают по ГОСТ 12303-80 «Пачки из картона, бумаги и комбинированных материалов. Общие технические условия», по ГОСТ 12301-2006 «Коробки из картона, бумаги и комбинированных материалов. Общие технические условия».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Не допускается механическое повреждение упаковки, открывающее доступ к поверхности изделия.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suppressAutoHyphens w:val="0"/>
        <w:autoSpaceDE w:val="0"/>
        <w:ind w:firstLine="709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Срок пользования</w:t>
      </w:r>
    </w:p>
    <w:p w:rsidR="00902220" w:rsidRPr="00F20419" w:rsidRDefault="00902220" w:rsidP="00902220">
      <w:pPr>
        <w:suppressAutoHyphens w:val="0"/>
        <w:autoSpaceDE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пеленок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902220" w:rsidRPr="00F20419" w:rsidRDefault="00902220" w:rsidP="0090222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caps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  <w:t>Требования к безопасности изделий</w:t>
      </w:r>
    </w:p>
    <w:p w:rsidR="00902220" w:rsidRPr="00F20419" w:rsidRDefault="00902220" w:rsidP="00902220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</w:p>
    <w:p w:rsidR="00902220" w:rsidRPr="00F20419" w:rsidRDefault="00902220" w:rsidP="00902220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Впитывающие простыни (пеленки) должны соответствовать требованиям стандартов серии:</w:t>
      </w:r>
    </w:p>
    <w:p w:rsidR="00902220" w:rsidRPr="00F20419" w:rsidRDefault="00902220" w:rsidP="00902220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lastRenderedPageBreak/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10993-1-2011 «Изделия медицинские. Оценка биологического действия медицинских изделий Часть 1 Оценка и исследования», </w:t>
      </w:r>
    </w:p>
    <w:p w:rsidR="00902220" w:rsidRPr="00F20419" w:rsidRDefault="00902220" w:rsidP="00902220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10993-5-2011 «Изделия медицинские. Оценка биологического действия медицинских изделий Часть 5 Исследования на цитотоксичность: методы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in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vitro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», </w:t>
      </w:r>
    </w:p>
    <w:p w:rsidR="00902220" w:rsidRPr="00F20419" w:rsidRDefault="00902220" w:rsidP="00902220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902220" w:rsidRPr="00F20419" w:rsidRDefault="00902220" w:rsidP="00902220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Р 52770-2007 «Изделия медицинские. Требования безопасности. Методы санитарно-химических и токсикологических испытаний». 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keepNext/>
        <w:spacing w:before="240" w:after="120"/>
        <w:ind w:left="360" w:firstLine="0"/>
        <w:jc w:val="center"/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F20419"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  <w:t>Требования к месту, условиям, объёмам и срокам (периодам) поставки</w:t>
      </w:r>
    </w:p>
    <w:p w:rsidR="00902220" w:rsidRPr="00F20419" w:rsidRDefault="00902220" w:rsidP="00902220">
      <w:pPr>
        <w:widowControl/>
        <w:suppressAutoHyphens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Поставить одновременно все количество Изделий (в соответствии с Описанием объекта закупки )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5 календарных дней с даты подписания Государственного контракта для осуществления проверки качества изделия.</w:t>
      </w:r>
    </w:p>
    <w:p w:rsidR="00902220" w:rsidRPr="00F20419" w:rsidRDefault="00902220" w:rsidP="00902220">
      <w:pPr>
        <w:suppressAutoHyphens w:val="0"/>
        <w:ind w:firstLine="0"/>
        <w:jc w:val="both"/>
        <w:rPr>
          <w:rFonts w:eastAsia="Times New Roman"/>
          <w:color w:val="000000"/>
          <w:spacing w:val="-4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пеленки </w:t>
      </w:r>
      <w:r w:rsidRPr="00F20419">
        <w:rPr>
          <w:rFonts w:eastAsia="Times New Roman"/>
          <w:spacing w:val="-4"/>
          <w:sz w:val="24"/>
          <w:szCs w:val="24"/>
          <w:lang w:eastAsia="ru-RU" w:bidi="ar-SA"/>
        </w:rPr>
        <w:t xml:space="preserve"> о </w:t>
      </w:r>
      <w:r w:rsidRPr="00F20419">
        <w:rPr>
          <w:rFonts w:eastAsia="Times New Roman"/>
          <w:color w:val="000000"/>
          <w:spacing w:val="-4"/>
          <w:sz w:val="24"/>
          <w:szCs w:val="24"/>
          <w:lang w:eastAsia="ru-RU" w:bidi="ar-SA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902220" w:rsidRPr="00F20419" w:rsidRDefault="00902220" w:rsidP="00902220">
      <w:pPr>
        <w:widowControl/>
        <w:ind w:firstLine="709"/>
        <w:jc w:val="both"/>
        <w:rPr>
          <w:rFonts w:eastAsia="Arial"/>
          <w:sz w:val="24"/>
          <w:szCs w:val="24"/>
          <w:lang w:eastAsia="ar-SA" w:bidi="ar-SA"/>
        </w:rPr>
      </w:pPr>
      <w:r w:rsidRPr="00F20419">
        <w:rPr>
          <w:rFonts w:eastAsia="Arial"/>
          <w:sz w:val="24"/>
          <w:szCs w:val="24"/>
          <w:lang w:eastAsia="ar-SA" w:bidi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902220" w:rsidRPr="00F20419" w:rsidRDefault="00902220" w:rsidP="00902220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Обязанности поставщика: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        Передавать Изделия Получателям следующими способами: 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- по месту нахождения центра приема, организованного Поставщиком, в день обращения Получателя.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реестра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1.1.. Центр приема должен быть организован в г. Магас; в г. Малгобеке ; в г.Сунжа, (бывшая ст. Орджоникидзевская), Джейрахский район   на расстоянии шаговой доступности для Получателей от остановок общественного транспорта (не более 500 метров от остановок). 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lastRenderedPageBreak/>
        <w:t>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902220" w:rsidRPr="00F20419" w:rsidRDefault="00902220" w:rsidP="00902220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902220" w:rsidRPr="00F20419" w:rsidRDefault="00902220" w:rsidP="00902220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инвалидов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страдающих недержанием.</w:t>
      </w:r>
    </w:p>
    <w:p w:rsidR="00902220" w:rsidRPr="00F20419" w:rsidRDefault="00902220" w:rsidP="00902220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1.2. По месту фактического проживания Получателя в течение не более 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5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(десяти) календарных дней с момента получения 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ab/>
        <w:t xml:space="preserve">Реестров  Получателей но  не позднее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25.12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.201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8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года:</w:t>
      </w:r>
    </w:p>
    <w:p w:rsidR="00902220" w:rsidRPr="00F20419" w:rsidRDefault="00902220" w:rsidP="00902220">
      <w:pPr>
        <w:tabs>
          <w:tab w:val="left" w:pos="1440"/>
        </w:tabs>
        <w:suppressAutoHyphens w:val="0"/>
        <w:ind w:firstLine="0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Поставка Товара осуществляется по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реестру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Государственного заказчика до места проживания получателей (инвалидов) по следующим направлениям: </w:t>
      </w:r>
      <w:r w:rsidRPr="00F20419">
        <w:rPr>
          <w:rFonts w:eastAsia="Times New Roman"/>
          <w:sz w:val="24"/>
          <w:szCs w:val="24"/>
          <w:lang w:eastAsia="ru-RU" w:bidi="ar-SA"/>
        </w:rPr>
        <w:t>Малгобекский район; Джейрахский район; Сунженский район; Назрановский район.</w:t>
      </w:r>
    </w:p>
    <w:p w:rsidR="00912FDB" w:rsidRDefault="00902220" w:rsidP="00902220"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</w:t>
      </w:r>
      <w:bookmarkStart w:id="0" w:name="_GoBack"/>
      <w:bookmarkEnd w:id="0"/>
    </w:p>
    <w:sectPr w:rsidR="009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E9"/>
    <w:rsid w:val="001E0BE9"/>
    <w:rsid w:val="00902220"/>
    <w:rsid w:val="009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0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0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2018-04-11T06:35:00Z</dcterms:created>
  <dcterms:modified xsi:type="dcterms:W3CDTF">2018-04-11T06:35:00Z</dcterms:modified>
</cp:coreProperties>
</file>