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6F" w:rsidRDefault="00DF196F" w:rsidP="00B34247">
      <w:pPr>
        <w:keepNext/>
        <w:keepLines/>
        <w:tabs>
          <w:tab w:val="left" w:pos="-567"/>
        </w:tabs>
        <w:suppressAutoHyphens/>
        <w:ind w:left="-567"/>
        <w:jc w:val="both"/>
        <w:rPr>
          <w:bCs/>
        </w:rPr>
      </w:pPr>
      <w:r>
        <w:rPr>
          <w:bCs/>
        </w:rPr>
        <w:t>Требования к участникам</w:t>
      </w:r>
    </w:p>
    <w:p w:rsidR="00DF196F" w:rsidRDefault="00DF196F" w:rsidP="00B34247">
      <w:pPr>
        <w:keepNext/>
        <w:keepLines/>
        <w:tabs>
          <w:tab w:val="left" w:pos="-567"/>
        </w:tabs>
        <w:suppressAutoHyphens/>
        <w:ind w:left="-567"/>
        <w:jc w:val="both"/>
        <w:rPr>
          <w:bCs/>
        </w:rPr>
      </w:pPr>
    </w:p>
    <w:p w:rsidR="00B34247" w:rsidRDefault="00B34247" w:rsidP="00B34247">
      <w:pPr>
        <w:keepNext/>
        <w:keepLines/>
        <w:tabs>
          <w:tab w:val="left" w:pos="-567"/>
        </w:tabs>
        <w:suppressAutoHyphens/>
        <w:ind w:left="-567"/>
        <w:jc w:val="both"/>
        <w:rPr>
          <w:bCs/>
        </w:rPr>
      </w:pPr>
    </w:p>
    <w:p w:rsidR="00B34247" w:rsidRDefault="00B34247" w:rsidP="00B34247">
      <w:pPr>
        <w:keepNext/>
        <w:keepLines/>
        <w:tabs>
          <w:tab w:val="left" w:pos="-567"/>
        </w:tabs>
        <w:suppressAutoHyphens/>
        <w:ind w:left="-567"/>
        <w:jc w:val="both"/>
        <w:rPr>
          <w:b/>
          <w:bCs/>
        </w:rPr>
      </w:pPr>
      <w:r w:rsidRPr="00B34247">
        <w:rPr>
          <w:b/>
          <w:bCs/>
        </w:rPr>
        <w:t xml:space="preserve">Обеспечение заявок </w:t>
      </w:r>
    </w:p>
    <w:p w:rsidR="00B34247" w:rsidRPr="00B34247" w:rsidRDefault="00B34247" w:rsidP="00B34247">
      <w:pPr>
        <w:keepNext/>
        <w:keepLines/>
        <w:tabs>
          <w:tab w:val="left" w:pos="-567"/>
        </w:tabs>
        <w:suppressAutoHyphens/>
        <w:ind w:left="-567"/>
        <w:jc w:val="both"/>
        <w:rPr>
          <w:b/>
          <w:bCs/>
        </w:rPr>
      </w:pPr>
      <w:r w:rsidRPr="00B34247">
        <w:rPr>
          <w:b/>
        </w:rPr>
        <w:t>Порядок внесения денежных средств в качестве обеспечения заявок</w:t>
      </w:r>
    </w:p>
    <w:p w:rsidR="00B34247" w:rsidRDefault="00B34247" w:rsidP="00B34247">
      <w:pPr>
        <w:keepNext/>
        <w:keepLines/>
        <w:tabs>
          <w:tab w:val="left" w:pos="-567"/>
        </w:tabs>
        <w:suppressAutoHyphens/>
        <w:ind w:left="-567"/>
        <w:jc w:val="both"/>
        <w:rPr>
          <w:bCs/>
        </w:rPr>
      </w:pPr>
      <w:r w:rsidRPr="00B34247">
        <w:rPr>
          <w:bCs/>
        </w:rPr>
        <w:t xml:space="preserve">Определен статьей 21 </w:t>
      </w:r>
      <w:proofErr w:type="gramStart"/>
      <w:r w:rsidRPr="00B34247">
        <w:rPr>
          <w:bCs/>
        </w:rPr>
        <w:t>документации  о</w:t>
      </w:r>
      <w:proofErr w:type="gramEnd"/>
      <w:r w:rsidRPr="00B34247">
        <w:rPr>
          <w:bCs/>
        </w:rPr>
        <w:t xml:space="preserve"> проведении аукциона в электронной форме</w:t>
      </w:r>
    </w:p>
    <w:p w:rsidR="00B34247" w:rsidRDefault="00B34247" w:rsidP="00B34247">
      <w:pPr>
        <w:keepNext/>
        <w:keepLines/>
        <w:tabs>
          <w:tab w:val="left" w:pos="-567"/>
        </w:tabs>
        <w:suppressAutoHyphens/>
        <w:ind w:left="-567"/>
        <w:jc w:val="both"/>
        <w:rPr>
          <w:bCs/>
        </w:rPr>
      </w:pPr>
    </w:p>
    <w:p w:rsidR="00B34247" w:rsidRPr="00B34247" w:rsidRDefault="00B34247" w:rsidP="00B34247">
      <w:pPr>
        <w:keepNext/>
        <w:keepLines/>
        <w:tabs>
          <w:tab w:val="left" w:pos="-567"/>
        </w:tabs>
        <w:suppressAutoHyphens/>
        <w:ind w:left="-567"/>
        <w:jc w:val="both"/>
        <w:rPr>
          <w:b/>
        </w:rPr>
      </w:pPr>
      <w:r w:rsidRPr="00B34247">
        <w:rPr>
          <w:b/>
        </w:rPr>
        <w:t>Обеспечение исполнения контракта</w:t>
      </w:r>
    </w:p>
    <w:p w:rsidR="00B34247" w:rsidRPr="00B34247" w:rsidRDefault="00B34247" w:rsidP="00B34247">
      <w:pPr>
        <w:keepNext/>
        <w:keepLines/>
        <w:tabs>
          <w:tab w:val="left" w:pos="-567"/>
        </w:tabs>
        <w:suppressAutoHyphens/>
        <w:ind w:left="-567"/>
        <w:jc w:val="both"/>
        <w:rPr>
          <w:b/>
          <w:bCs/>
        </w:rPr>
      </w:pPr>
      <w:r w:rsidRPr="00B34247">
        <w:rPr>
          <w:b/>
        </w:rPr>
        <w:t>Порядок предоставления обеспечения исполнения контракта, требования к обеспечению, информация о банковском сопровождении контракта</w:t>
      </w:r>
    </w:p>
    <w:p w:rsidR="00B34247" w:rsidRDefault="00B34247" w:rsidP="00B34247">
      <w:pPr>
        <w:keepNext/>
        <w:keepLines/>
        <w:tabs>
          <w:tab w:val="left" w:pos="-567"/>
        </w:tabs>
        <w:suppressAutoHyphens/>
        <w:ind w:left="-567"/>
        <w:jc w:val="both"/>
        <w:rPr>
          <w:bCs/>
        </w:rPr>
      </w:pPr>
      <w:r w:rsidRPr="00B34247">
        <w:rPr>
          <w:bCs/>
        </w:rPr>
        <w:t xml:space="preserve">Определен ст. 22 и п.21 информационной карты </w:t>
      </w:r>
      <w:proofErr w:type="gramStart"/>
      <w:r w:rsidRPr="00B34247">
        <w:rPr>
          <w:bCs/>
        </w:rPr>
        <w:t>документации  о</w:t>
      </w:r>
      <w:proofErr w:type="gramEnd"/>
      <w:r w:rsidRPr="00B34247">
        <w:rPr>
          <w:bCs/>
        </w:rPr>
        <w:t xml:space="preserve"> проведении аукциона в электронной форме</w:t>
      </w:r>
    </w:p>
    <w:p w:rsidR="00141BC9" w:rsidRDefault="00141BC9"/>
    <w:p w:rsidR="005452F1" w:rsidRDefault="005452F1" w:rsidP="005452F1">
      <w:pPr>
        <w:keepNext/>
        <w:keepLines/>
        <w:tabs>
          <w:tab w:val="left" w:pos="-567"/>
        </w:tabs>
        <w:suppressAutoHyphens/>
        <w:ind w:left="-567"/>
        <w:jc w:val="both"/>
        <w:rPr>
          <w:bCs/>
        </w:rPr>
      </w:pPr>
      <w:r>
        <w:rPr>
          <w:bCs/>
        </w:rPr>
        <w:t>Антидемпинговые меры</w:t>
      </w:r>
    </w:p>
    <w:p w:rsidR="005452F1" w:rsidRPr="00B85EC0" w:rsidRDefault="005452F1" w:rsidP="005452F1">
      <w:pPr>
        <w:keepNext/>
        <w:keepLines/>
        <w:tabs>
          <w:tab w:val="left" w:pos="-567"/>
        </w:tabs>
        <w:suppressAutoHyphens/>
        <w:ind w:left="-567"/>
        <w:jc w:val="both"/>
        <w:rPr>
          <w:b/>
          <w:bCs/>
        </w:rPr>
      </w:pPr>
      <w:proofErr w:type="spellStart"/>
      <w:r w:rsidRPr="00B85EC0">
        <w:rPr>
          <w:b/>
          <w:bCs/>
        </w:rPr>
        <w:t>Преимущ-ва</w:t>
      </w:r>
      <w:proofErr w:type="spellEnd"/>
      <w:r w:rsidRPr="00B85EC0">
        <w:rPr>
          <w:b/>
          <w:bCs/>
        </w:rPr>
        <w:t xml:space="preserve"> и </w:t>
      </w:r>
      <w:proofErr w:type="spellStart"/>
      <w:proofErr w:type="gramStart"/>
      <w:r w:rsidRPr="00B85EC0">
        <w:rPr>
          <w:b/>
          <w:bCs/>
        </w:rPr>
        <w:t>тр</w:t>
      </w:r>
      <w:proofErr w:type="spellEnd"/>
      <w:r w:rsidRPr="00B85EC0">
        <w:rPr>
          <w:b/>
          <w:bCs/>
        </w:rPr>
        <w:t>-я</w:t>
      </w:r>
      <w:proofErr w:type="gramEnd"/>
      <w:r w:rsidRPr="00B85EC0">
        <w:rPr>
          <w:b/>
          <w:bCs/>
        </w:rPr>
        <w:t xml:space="preserve"> к </w:t>
      </w:r>
      <w:proofErr w:type="spellStart"/>
      <w:r w:rsidRPr="00B85EC0">
        <w:rPr>
          <w:b/>
          <w:bCs/>
        </w:rPr>
        <w:t>уч-кам</w:t>
      </w:r>
      <w:proofErr w:type="spellEnd"/>
    </w:p>
    <w:p w:rsidR="005452F1" w:rsidRDefault="005452F1" w:rsidP="005452F1">
      <w:pPr>
        <w:keepNext/>
        <w:keepLines/>
        <w:tabs>
          <w:tab w:val="left" w:pos="-567"/>
        </w:tabs>
        <w:suppressAutoHyphens/>
        <w:ind w:left="-567"/>
        <w:jc w:val="both"/>
        <w:rPr>
          <w:bCs/>
        </w:rPr>
      </w:pPr>
      <w:r>
        <w:rPr>
          <w:bCs/>
        </w:rPr>
        <w:t>В</w:t>
      </w:r>
      <w:r w:rsidRPr="00E01BEF">
        <w:rPr>
          <w:bCs/>
        </w:rPr>
        <w:t xml:space="preserve"> соответствии с </w:t>
      </w:r>
      <w:hyperlink r:id="rId4" w:history="1">
        <w:r w:rsidRPr="00E373BB">
          <w:rPr>
            <w:rStyle w:val="a3"/>
            <w:bCs/>
            <w:u w:val="none"/>
            <w:lang w:val="ru-RU"/>
          </w:rPr>
          <w:t xml:space="preserve">частью </w:t>
        </w:r>
      </w:hyperlink>
      <w:r w:rsidRPr="00E373BB">
        <w:rPr>
          <w:bCs/>
        </w:rPr>
        <w:t>2</w:t>
      </w:r>
      <w:r>
        <w:rPr>
          <w:bCs/>
        </w:rPr>
        <w:t xml:space="preserve"> статьи 37 </w:t>
      </w:r>
      <w:r w:rsidRPr="00CC6D80">
        <w:rPr>
          <w:bCs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</w:rPr>
        <w:t xml:space="preserve"> если </w:t>
      </w:r>
      <w:r w:rsidRPr="00E01BEF">
        <w:rPr>
          <w:bCs/>
        </w:rPr>
        <w:t>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</w:t>
      </w:r>
      <w:bookmarkStart w:id="0" w:name="_GoBack"/>
      <w:bookmarkEnd w:id="0"/>
      <w:r w:rsidRPr="00E01BEF">
        <w:rPr>
          <w:bCs/>
        </w:rPr>
        <w:t xml:space="preserve">ления таким участником обеспечения исполнения контракта в размере, </w:t>
      </w:r>
      <w:r>
        <w:rPr>
          <w:bCs/>
        </w:rPr>
        <w:t xml:space="preserve">указанном в части 1 статьи 37 </w:t>
      </w:r>
      <w:r w:rsidRPr="00CC6D80">
        <w:rPr>
          <w:bCs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</w:rPr>
        <w:t xml:space="preserve"> или  </w:t>
      </w:r>
      <w:r w:rsidRPr="00E01BEF">
        <w:rPr>
          <w:bCs/>
        </w:rPr>
        <w:t xml:space="preserve">информации, подтверждающей добросовестность такого участника на дату подачи заявки в соответствии с </w:t>
      </w:r>
      <w:hyperlink r:id="rId5" w:history="1">
        <w:r w:rsidRPr="00B34247">
          <w:rPr>
            <w:rStyle w:val="a3"/>
            <w:bCs/>
            <w:lang w:val="ru-RU"/>
          </w:rPr>
          <w:t>частью 3</w:t>
        </w:r>
      </w:hyperlink>
      <w:r>
        <w:rPr>
          <w:bCs/>
        </w:rPr>
        <w:t xml:space="preserve"> статьи 37 </w:t>
      </w:r>
      <w:r w:rsidRPr="00CC6D80">
        <w:rPr>
          <w:bCs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</w:rPr>
        <w:t>.</w:t>
      </w:r>
    </w:p>
    <w:p w:rsidR="00B34247" w:rsidRDefault="00B34247"/>
    <w:sectPr w:rsidR="00B3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47"/>
    <w:rsid w:val="000653B4"/>
    <w:rsid w:val="00141BC9"/>
    <w:rsid w:val="005452F1"/>
    <w:rsid w:val="00B34247"/>
    <w:rsid w:val="00B85EC0"/>
    <w:rsid w:val="00C21817"/>
    <w:rsid w:val="00DF196F"/>
    <w:rsid w:val="00E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4505-581D-47C1-93D4-9DDB3CC8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247"/>
    <w:rPr>
      <w:rFonts w:ascii="Tahoma" w:hAnsi="Tahoma" w:cs="Tahom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E6DC5BC3E180DE45F33743E559F0E5B6DF30B9A21F970D4336D65715098D77E7042461FFB23254jDeBF" TargetMode="External"/><Relationship Id="rId4" Type="http://schemas.openxmlformats.org/officeDocument/2006/relationships/hyperlink" Target="consultantplus://offline/ref=08E6DC5BC3E180DE45F33743E559F0E5B6DF30B9A21F970D4336D65715098D77E7042461FFB23254jD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Смолина</dc:creator>
  <cp:keywords/>
  <dc:description/>
  <cp:lastModifiedBy>Адексей А. Тульский</cp:lastModifiedBy>
  <cp:revision>4</cp:revision>
  <dcterms:created xsi:type="dcterms:W3CDTF">2017-12-24T11:19:00Z</dcterms:created>
  <dcterms:modified xsi:type="dcterms:W3CDTF">2017-12-27T16:08:00Z</dcterms:modified>
</cp:coreProperties>
</file>