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по </w:t>
      </w:r>
      <w:r w:rsidR="00BD7DF4">
        <w:rPr>
          <w:sz w:val="24"/>
          <w:szCs w:val="24"/>
        </w:rPr>
        <w:t xml:space="preserve"> кардиологии,</w:t>
      </w:r>
      <w:r w:rsidR="002914DC">
        <w:rPr>
          <w:sz w:val="24"/>
          <w:szCs w:val="24"/>
        </w:rPr>
        <w:t xml:space="preserve"> неврологии, </w:t>
      </w:r>
      <w:r w:rsidR="008367D8" w:rsidRPr="008367D8">
        <w:rPr>
          <w:sz w:val="24"/>
          <w:szCs w:val="24"/>
          <w:lang w:eastAsia="ru-RU"/>
        </w:rPr>
        <w:t>травматологии и ортопедии</w:t>
      </w:r>
      <w:r w:rsidR="00E67E8E">
        <w:rPr>
          <w:sz w:val="24"/>
          <w:szCs w:val="24"/>
        </w:rPr>
        <w:t>;</w:t>
      </w:r>
      <w:r w:rsidR="0025032B" w:rsidRPr="0025032B">
        <w:rPr>
          <w:bCs/>
          <w:color w:val="000000"/>
          <w:kern w:val="1"/>
          <w:sz w:val="24"/>
          <w:szCs w:val="24"/>
        </w:rPr>
        <w:t xml:space="preserve"> </w:t>
      </w:r>
      <w:bookmarkStart w:id="0" w:name="_GoBack"/>
      <w:bookmarkEnd w:id="0"/>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25032B"/>
    <w:rsid w:val="002914DC"/>
    <w:rsid w:val="004007C9"/>
    <w:rsid w:val="005253D4"/>
    <w:rsid w:val="00692C30"/>
    <w:rsid w:val="00833FEA"/>
    <w:rsid w:val="008367D8"/>
    <w:rsid w:val="00BD7DF4"/>
    <w:rsid w:val="00C3590C"/>
    <w:rsid w:val="00C5479C"/>
    <w:rsid w:val="00DF75F8"/>
    <w:rsid w:val="00E27869"/>
    <w:rsid w:val="00E6097C"/>
    <w:rsid w:val="00E6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 Ганина</dc:creator>
  <cp:lastModifiedBy>Татьяна В. Евстигнеева</cp:lastModifiedBy>
  <cp:revision>4</cp:revision>
  <dcterms:created xsi:type="dcterms:W3CDTF">2018-03-28T18:37:00Z</dcterms:created>
  <dcterms:modified xsi:type="dcterms:W3CDTF">2018-05-14T08:39:00Z</dcterms:modified>
</cp:coreProperties>
</file>