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378" w:rsidRDefault="00284378" w:rsidP="00284378">
      <w:pPr>
        <w:suppressAutoHyphens/>
        <w:ind w:left="720"/>
        <w:outlineLvl w:val="2"/>
        <w:rPr>
          <w:b/>
          <w:bCs/>
          <w:color w:val="000000"/>
          <w:spacing w:val="2"/>
        </w:rPr>
      </w:pPr>
      <w:r>
        <w:t>П</w:t>
      </w:r>
      <w:r>
        <w:t>оставк</w:t>
      </w:r>
      <w:r>
        <w:t>а</w:t>
      </w:r>
      <w:r>
        <w:t xml:space="preserve"> </w:t>
      </w:r>
      <w:proofErr w:type="gramStart"/>
      <w:r>
        <w:rPr>
          <w:b/>
          <w:bCs/>
          <w:color w:val="000000"/>
          <w:spacing w:val="2"/>
        </w:rPr>
        <w:t>ходунков</w:t>
      </w:r>
      <w:proofErr w:type="gramEnd"/>
      <w:r>
        <w:rPr>
          <w:b/>
          <w:bCs/>
          <w:color w:val="000000"/>
          <w:spacing w:val="2"/>
        </w:rPr>
        <w:t xml:space="preserve"> шагающих для инвалидов в</w:t>
      </w:r>
      <w:r>
        <w:rPr>
          <w:b/>
          <w:bCs/>
        </w:rPr>
        <w:t xml:space="preserve"> 2018 году</w:t>
      </w:r>
      <w:r>
        <w:rPr>
          <w:b/>
          <w:bCs/>
        </w:rPr>
        <w:t xml:space="preserve"> в количестве 50 штук</w:t>
      </w:r>
    </w:p>
    <w:p w:rsidR="00284378" w:rsidRDefault="00284378" w:rsidP="00284378">
      <w:pPr>
        <w:pStyle w:val="3"/>
        <w:keepNext w:val="0"/>
        <w:numPr>
          <w:ilvl w:val="2"/>
          <w:numId w:val="1"/>
        </w:numPr>
        <w:shd w:val="clear" w:color="auto" w:fill="auto"/>
        <w:suppressAutoHyphens/>
        <w:spacing w:line="240" w:lineRule="auto"/>
        <w:ind w:left="0" w:firstLine="0"/>
        <w:jc w:val="center"/>
        <w:rPr>
          <w:sz w:val="24"/>
          <w:szCs w:val="24"/>
        </w:rPr>
      </w:pPr>
    </w:p>
    <w:p w:rsidR="00284378" w:rsidRDefault="00284378" w:rsidP="00284378">
      <w:pPr>
        <w:widowControl w:val="0"/>
        <w:jc w:val="center"/>
        <w:rPr>
          <w:b/>
        </w:rPr>
      </w:pPr>
      <w:r>
        <w:rPr>
          <w:b/>
        </w:rPr>
        <w:t>Описание объекта закупки (техническое задание)</w:t>
      </w:r>
    </w:p>
    <w:p w:rsidR="00284378" w:rsidRDefault="00284378" w:rsidP="00284378">
      <w:pPr>
        <w:widowControl w:val="0"/>
        <w:jc w:val="center"/>
        <w:rPr>
          <w:b/>
        </w:rPr>
      </w:pPr>
    </w:p>
    <w:p w:rsidR="00284378" w:rsidRDefault="00284378" w:rsidP="00284378">
      <w:pPr>
        <w:spacing w:line="240" w:lineRule="atLeast"/>
        <w:jc w:val="both"/>
      </w:pPr>
      <w:r>
        <w:t>Поставщик должен поставлять ходунки шагающие (далее - Изделия) для инвалидов (далее – Получатели), в соответствии с требованиями, предъявляемыми в настоящем техническом задании, в период действия государственного контракта.</w:t>
      </w:r>
    </w:p>
    <w:p w:rsidR="00284378" w:rsidRDefault="00284378" w:rsidP="00284378">
      <w:pPr>
        <w:autoSpaceDE w:val="0"/>
        <w:autoSpaceDN w:val="0"/>
        <w:adjustRightInd w:val="0"/>
        <w:spacing w:line="240" w:lineRule="atLeast"/>
        <w:jc w:val="both"/>
      </w:pPr>
    </w:p>
    <w:p w:rsidR="00284378" w:rsidRDefault="00284378" w:rsidP="00284378">
      <w:pPr>
        <w:widowControl w:val="0"/>
        <w:autoSpaceDE w:val="0"/>
        <w:jc w:val="both"/>
      </w:pPr>
      <w:r>
        <w:rPr>
          <w:bCs/>
        </w:rPr>
        <w:t>Срок поставки:</w:t>
      </w:r>
      <w:r>
        <w:t xml:space="preserve"> со дня, следующего за днем заключения государственного контракта, до 10.12.2018 включительно.</w:t>
      </w:r>
    </w:p>
    <w:p w:rsidR="00284378" w:rsidRDefault="00284378" w:rsidP="00284378">
      <w:pPr>
        <w:jc w:val="both"/>
      </w:pPr>
    </w:p>
    <w:p w:rsidR="00284378" w:rsidRDefault="00284378" w:rsidP="00284378">
      <w:pPr>
        <w:suppressAutoHyphens/>
        <w:spacing w:line="240" w:lineRule="atLeast"/>
        <w:jc w:val="both"/>
        <w:rPr>
          <w:b/>
        </w:rPr>
      </w:pPr>
      <w:r>
        <w:rPr>
          <w:b/>
        </w:rPr>
        <w:t>1. Поставляемые Изделия должны отвечать следующим требованиям:</w:t>
      </w:r>
    </w:p>
    <w:p w:rsidR="00284378" w:rsidRDefault="00284378" w:rsidP="00284378">
      <w:pPr>
        <w:jc w:val="both"/>
      </w:pPr>
      <w:r>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284378" w:rsidRDefault="00284378" w:rsidP="00284378">
      <w:pPr>
        <w:jc w:val="both"/>
      </w:pPr>
      <w:r>
        <w:t>1.2. Изделия должны быть новыми. Изделия должны быть свободными от прав третьих лиц.</w:t>
      </w:r>
    </w:p>
    <w:p w:rsidR="00284378" w:rsidRDefault="00284378" w:rsidP="00284378">
      <w:pPr>
        <w:jc w:val="both"/>
      </w:pPr>
      <w:r>
        <w:t xml:space="preserve">1.3. </w:t>
      </w:r>
      <w:r>
        <w:rPr>
          <w:lang w:eastAsia="ar-SA"/>
        </w:rPr>
        <w:t>Изделие должно отвечать следующим требованиям</w:t>
      </w:r>
      <w:r>
        <w:rPr>
          <w:rStyle w:val="a4"/>
        </w:rPr>
        <w:t xml:space="preserve"> </w:t>
      </w:r>
      <w:r>
        <w:rPr>
          <w:rStyle w:val="a4"/>
        </w:rPr>
        <w:footnoteReference w:id="1"/>
      </w:r>
      <w:r>
        <w:t>:</w:t>
      </w:r>
    </w:p>
    <w:p w:rsidR="00284378" w:rsidRDefault="00284378" w:rsidP="00284378">
      <w:pPr>
        <w:jc w:val="both"/>
      </w:pPr>
    </w:p>
    <w:tbl>
      <w:tblPr>
        <w:tblpPr w:leftFromText="180" w:rightFromText="180" w:vertAnchor="text" w:horzAnchor="margin" w:tblpY="78"/>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0"/>
        <w:gridCol w:w="2749"/>
        <w:gridCol w:w="1844"/>
        <w:gridCol w:w="2324"/>
        <w:gridCol w:w="1391"/>
      </w:tblGrid>
      <w:tr w:rsidR="00284378" w:rsidTr="00284378">
        <w:trPr>
          <w:trHeight w:val="150"/>
        </w:trPr>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284378" w:rsidRDefault="00284378">
            <w:pPr>
              <w:tabs>
                <w:tab w:val="num" w:pos="180"/>
              </w:tabs>
              <w:ind w:left="-142" w:right="-96"/>
              <w:jc w:val="center"/>
              <w:rPr>
                <w:b/>
              </w:rPr>
            </w:pPr>
            <w:r>
              <w:rPr>
                <w:b/>
              </w:rPr>
              <w:t>Наименование Изделия</w:t>
            </w:r>
          </w:p>
        </w:tc>
        <w:tc>
          <w:tcPr>
            <w:tcW w:w="2632" w:type="pct"/>
            <w:gridSpan w:val="2"/>
            <w:tcBorders>
              <w:top w:val="single" w:sz="4" w:space="0" w:color="auto"/>
              <w:left w:val="single" w:sz="4" w:space="0" w:color="auto"/>
              <w:bottom w:val="single" w:sz="4" w:space="0" w:color="auto"/>
              <w:right w:val="single" w:sz="4" w:space="0" w:color="auto"/>
            </w:tcBorders>
            <w:vAlign w:val="center"/>
            <w:hideMark/>
          </w:tcPr>
          <w:p w:rsidR="00284378" w:rsidRDefault="00284378">
            <w:pPr>
              <w:ind w:left="-4"/>
              <w:jc w:val="center"/>
              <w:rPr>
                <w:b/>
              </w:rPr>
            </w:pPr>
            <w:r>
              <w:rPr>
                <w:b/>
              </w:rPr>
              <w:t>Описание Изделия</w:t>
            </w:r>
          </w:p>
        </w:tc>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284378" w:rsidRDefault="00284378">
            <w:pPr>
              <w:tabs>
                <w:tab w:val="left" w:pos="1735"/>
              </w:tabs>
              <w:ind w:right="-96"/>
              <w:jc w:val="center"/>
              <w:rPr>
                <w:b/>
              </w:rPr>
            </w:pPr>
            <w:r>
              <w:rPr>
                <w:b/>
              </w:rPr>
              <w:t>ГОСТ, технический регламент/ обоснование</w:t>
            </w:r>
          </w:p>
          <w:p w:rsidR="00284378" w:rsidRDefault="00284378">
            <w:pPr>
              <w:tabs>
                <w:tab w:val="left" w:pos="1735"/>
              </w:tabs>
              <w:ind w:right="-96"/>
              <w:jc w:val="center"/>
              <w:rPr>
                <w:b/>
              </w:rPr>
            </w:pPr>
            <w:r>
              <w:rPr>
                <w:b/>
              </w:rPr>
              <w:t>использования (в том числе его характеристика)</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284378" w:rsidRDefault="00284378">
            <w:pPr>
              <w:ind w:left="-108"/>
              <w:jc w:val="center"/>
              <w:rPr>
                <w:b/>
                <w:lang w:val="en-US"/>
              </w:rPr>
            </w:pPr>
            <w:r>
              <w:rPr>
                <w:b/>
              </w:rPr>
              <w:t>Количество</w:t>
            </w:r>
          </w:p>
          <w:p w:rsidR="00284378" w:rsidRDefault="00284378">
            <w:pPr>
              <w:ind w:left="-108"/>
              <w:jc w:val="center"/>
              <w:rPr>
                <w:b/>
                <w:lang w:val="en-US"/>
              </w:rPr>
            </w:pPr>
            <w:r>
              <w:rPr>
                <w:b/>
                <w:lang w:val="en-US"/>
              </w:rPr>
              <w:t>(</w:t>
            </w:r>
            <w:r>
              <w:rPr>
                <w:b/>
              </w:rPr>
              <w:t>штук</w:t>
            </w:r>
            <w:r>
              <w:rPr>
                <w:b/>
                <w:lang w:val="en-US"/>
              </w:rPr>
              <w:t>)</w:t>
            </w:r>
          </w:p>
        </w:tc>
      </w:tr>
      <w:tr w:rsidR="00284378" w:rsidTr="0028437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4378" w:rsidRDefault="00284378">
            <w:pPr>
              <w:rPr>
                <w:b/>
              </w:rPr>
            </w:pPr>
          </w:p>
        </w:tc>
        <w:tc>
          <w:tcPr>
            <w:tcW w:w="1713" w:type="pct"/>
            <w:tcBorders>
              <w:top w:val="single" w:sz="4" w:space="0" w:color="auto"/>
              <w:left w:val="single" w:sz="4" w:space="0" w:color="auto"/>
              <w:bottom w:val="single" w:sz="4" w:space="0" w:color="auto"/>
              <w:right w:val="single" w:sz="4" w:space="0" w:color="auto"/>
            </w:tcBorders>
            <w:vAlign w:val="center"/>
            <w:hideMark/>
          </w:tcPr>
          <w:p w:rsidR="00284378" w:rsidRDefault="00284378">
            <w:pPr>
              <w:ind w:left="-4"/>
              <w:jc w:val="center"/>
              <w:rPr>
                <w:b/>
              </w:rPr>
            </w:pPr>
            <w:r>
              <w:rPr>
                <w:b/>
              </w:rPr>
              <w:t>Наименование характеристик</w:t>
            </w:r>
          </w:p>
        </w:tc>
        <w:tc>
          <w:tcPr>
            <w:tcW w:w="919" w:type="pct"/>
            <w:tcBorders>
              <w:top w:val="single" w:sz="4" w:space="0" w:color="auto"/>
              <w:left w:val="single" w:sz="4" w:space="0" w:color="auto"/>
              <w:bottom w:val="single" w:sz="4" w:space="0" w:color="auto"/>
              <w:right w:val="single" w:sz="4" w:space="0" w:color="auto"/>
            </w:tcBorders>
            <w:vAlign w:val="center"/>
            <w:hideMark/>
          </w:tcPr>
          <w:p w:rsidR="00284378" w:rsidRDefault="00284378">
            <w:pPr>
              <w:tabs>
                <w:tab w:val="num" w:pos="202"/>
              </w:tabs>
              <w:ind w:left="-107" w:right="-70"/>
              <w:jc w:val="center"/>
              <w:rPr>
                <w:b/>
              </w:rPr>
            </w:pPr>
            <w:r>
              <w:rPr>
                <w:b/>
              </w:rPr>
              <w:t>Показатели характеристик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378" w:rsidRDefault="0028437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378" w:rsidRDefault="00284378">
            <w:pPr>
              <w:rPr>
                <w:b/>
                <w:lang w:val="en-US"/>
              </w:rPr>
            </w:pPr>
          </w:p>
        </w:tc>
      </w:tr>
      <w:tr w:rsidR="00284378" w:rsidTr="00284378">
        <w:trPr>
          <w:trHeight w:val="122"/>
        </w:trPr>
        <w:tc>
          <w:tcPr>
            <w:tcW w:w="672" w:type="pct"/>
            <w:vMerge w:val="restart"/>
            <w:tcBorders>
              <w:top w:val="single" w:sz="4" w:space="0" w:color="auto"/>
              <w:left w:val="single" w:sz="4" w:space="0" w:color="auto"/>
              <w:bottom w:val="nil"/>
              <w:right w:val="single" w:sz="4" w:space="0" w:color="auto"/>
            </w:tcBorders>
            <w:hideMark/>
          </w:tcPr>
          <w:p w:rsidR="00284378" w:rsidRDefault="00284378">
            <w:pPr>
              <w:snapToGrid w:val="0"/>
              <w:jc w:val="center"/>
            </w:pPr>
            <w:r>
              <w:t>Ходунки шагающие</w:t>
            </w:r>
          </w:p>
        </w:tc>
        <w:tc>
          <w:tcPr>
            <w:tcW w:w="1713" w:type="pct"/>
            <w:tcBorders>
              <w:top w:val="single" w:sz="4" w:space="0" w:color="auto"/>
              <w:left w:val="single" w:sz="4" w:space="0" w:color="auto"/>
              <w:bottom w:val="single" w:sz="4" w:space="0" w:color="auto"/>
              <w:right w:val="single" w:sz="4" w:space="0" w:color="auto"/>
            </w:tcBorders>
            <w:vAlign w:val="center"/>
            <w:hideMark/>
          </w:tcPr>
          <w:p w:rsidR="00284378" w:rsidRDefault="00284378">
            <w:pPr>
              <w:autoSpaceDE w:val="0"/>
              <w:snapToGrid w:val="0"/>
              <w:jc w:val="both"/>
              <w:rPr>
                <w:bCs/>
                <w:color w:val="000000"/>
              </w:rPr>
            </w:pPr>
            <w:r>
              <w:rPr>
                <w:bCs/>
                <w:color w:val="000000"/>
              </w:rPr>
              <w:t>Возможность складывания ходунков без использования инструментов</w:t>
            </w:r>
          </w:p>
        </w:tc>
        <w:tc>
          <w:tcPr>
            <w:tcW w:w="919" w:type="pct"/>
            <w:tcBorders>
              <w:top w:val="single" w:sz="4" w:space="0" w:color="auto"/>
              <w:left w:val="single" w:sz="4" w:space="0" w:color="auto"/>
              <w:bottom w:val="single" w:sz="4" w:space="0" w:color="auto"/>
              <w:right w:val="single" w:sz="4" w:space="0" w:color="auto"/>
            </w:tcBorders>
            <w:vAlign w:val="center"/>
            <w:hideMark/>
          </w:tcPr>
          <w:p w:rsidR="00284378" w:rsidRDefault="00284378">
            <w:pPr>
              <w:autoSpaceDE w:val="0"/>
              <w:snapToGrid w:val="0"/>
              <w:jc w:val="center"/>
              <w:rPr>
                <w:bCs/>
                <w:color w:val="000000"/>
              </w:rPr>
            </w:pPr>
            <w:r>
              <w:rPr>
                <w:bCs/>
                <w:color w:val="000000"/>
              </w:rPr>
              <w:t>Наличие</w:t>
            </w:r>
          </w:p>
        </w:tc>
        <w:tc>
          <w:tcPr>
            <w:tcW w:w="1203" w:type="pct"/>
            <w:tcBorders>
              <w:top w:val="single" w:sz="4" w:space="0" w:color="auto"/>
              <w:left w:val="single" w:sz="4" w:space="0" w:color="auto"/>
              <w:bottom w:val="single" w:sz="4" w:space="0" w:color="auto"/>
              <w:right w:val="single" w:sz="4" w:space="0" w:color="auto"/>
            </w:tcBorders>
            <w:vAlign w:val="bottom"/>
            <w:hideMark/>
          </w:tcPr>
          <w:p w:rsidR="00284378" w:rsidRDefault="00284378">
            <w:pPr>
              <w:autoSpaceDE w:val="0"/>
              <w:autoSpaceDN w:val="0"/>
              <w:adjustRightInd w:val="0"/>
              <w:jc w:val="center"/>
              <w:rPr>
                <w:sz w:val="22"/>
                <w:szCs w:val="22"/>
              </w:rPr>
            </w:pPr>
            <w:r>
              <w:rPr>
                <w:sz w:val="22"/>
                <w:szCs w:val="22"/>
              </w:rPr>
              <w:t>А.2.5. ГОСТ Р ИСО 11199-1-2015</w:t>
            </w:r>
          </w:p>
        </w:tc>
        <w:tc>
          <w:tcPr>
            <w:tcW w:w="493" w:type="pct"/>
            <w:vMerge w:val="restart"/>
            <w:tcBorders>
              <w:top w:val="single" w:sz="4" w:space="0" w:color="auto"/>
              <w:left w:val="single" w:sz="4" w:space="0" w:color="auto"/>
              <w:bottom w:val="nil"/>
              <w:right w:val="single" w:sz="4" w:space="0" w:color="auto"/>
            </w:tcBorders>
            <w:hideMark/>
          </w:tcPr>
          <w:p w:rsidR="00284378" w:rsidRDefault="00284378">
            <w:pPr>
              <w:suppressAutoHyphens/>
              <w:jc w:val="center"/>
            </w:pPr>
            <w:r>
              <w:t>1000</w:t>
            </w:r>
          </w:p>
        </w:tc>
      </w:tr>
      <w:tr w:rsidR="00284378" w:rsidTr="00284378">
        <w:trPr>
          <w:trHeight w:val="122"/>
        </w:trPr>
        <w:tc>
          <w:tcPr>
            <w:tcW w:w="0" w:type="auto"/>
            <w:vMerge/>
            <w:tcBorders>
              <w:top w:val="single" w:sz="4" w:space="0" w:color="auto"/>
              <w:left w:val="single" w:sz="4" w:space="0" w:color="auto"/>
              <w:bottom w:val="nil"/>
              <w:right w:val="single" w:sz="4" w:space="0" w:color="auto"/>
            </w:tcBorders>
            <w:vAlign w:val="center"/>
            <w:hideMark/>
          </w:tcPr>
          <w:p w:rsidR="00284378" w:rsidRDefault="00284378"/>
        </w:tc>
        <w:tc>
          <w:tcPr>
            <w:tcW w:w="1713" w:type="pct"/>
            <w:tcBorders>
              <w:top w:val="single" w:sz="4" w:space="0" w:color="auto"/>
              <w:left w:val="single" w:sz="4" w:space="0" w:color="auto"/>
              <w:bottom w:val="single" w:sz="4" w:space="0" w:color="auto"/>
              <w:right w:val="single" w:sz="4" w:space="0" w:color="auto"/>
            </w:tcBorders>
            <w:vAlign w:val="center"/>
            <w:hideMark/>
          </w:tcPr>
          <w:p w:rsidR="00284378" w:rsidRDefault="00284378">
            <w:pPr>
              <w:suppressAutoHyphens/>
              <w:autoSpaceDE w:val="0"/>
              <w:snapToGrid w:val="0"/>
              <w:jc w:val="both"/>
            </w:pPr>
            <w:r>
              <w:t>Максимальная ширина ходунка</w:t>
            </w:r>
          </w:p>
        </w:tc>
        <w:tc>
          <w:tcPr>
            <w:tcW w:w="919" w:type="pct"/>
            <w:tcBorders>
              <w:top w:val="single" w:sz="4" w:space="0" w:color="auto"/>
              <w:left w:val="single" w:sz="4" w:space="0" w:color="auto"/>
              <w:bottom w:val="single" w:sz="4" w:space="0" w:color="auto"/>
              <w:right w:val="single" w:sz="4" w:space="0" w:color="auto"/>
            </w:tcBorders>
            <w:vAlign w:val="center"/>
            <w:hideMark/>
          </w:tcPr>
          <w:p w:rsidR="00284378" w:rsidRDefault="00284378">
            <w:pPr>
              <w:suppressAutoHyphens/>
              <w:autoSpaceDE w:val="0"/>
              <w:snapToGrid w:val="0"/>
              <w:jc w:val="center"/>
              <w:rPr>
                <w:bCs/>
                <w:color w:val="000000"/>
              </w:rPr>
            </w:pPr>
            <w:r>
              <w:t xml:space="preserve">Не более 650 мм </w:t>
            </w:r>
            <w:r>
              <w:rPr>
                <w:bCs/>
                <w:color w:val="000000"/>
              </w:rPr>
              <w:t>(включительно)</w:t>
            </w:r>
          </w:p>
        </w:tc>
        <w:tc>
          <w:tcPr>
            <w:tcW w:w="1203" w:type="pct"/>
            <w:tcBorders>
              <w:top w:val="single" w:sz="4" w:space="0" w:color="auto"/>
              <w:left w:val="single" w:sz="4" w:space="0" w:color="auto"/>
              <w:bottom w:val="single" w:sz="4" w:space="0" w:color="auto"/>
              <w:right w:val="single" w:sz="4" w:space="0" w:color="auto"/>
            </w:tcBorders>
            <w:vAlign w:val="bottom"/>
            <w:hideMark/>
          </w:tcPr>
          <w:p w:rsidR="00284378" w:rsidRDefault="00284378">
            <w:pPr>
              <w:autoSpaceDE w:val="0"/>
              <w:autoSpaceDN w:val="0"/>
              <w:adjustRightInd w:val="0"/>
              <w:jc w:val="center"/>
              <w:rPr>
                <w:sz w:val="22"/>
                <w:szCs w:val="22"/>
              </w:rPr>
            </w:pPr>
            <w:r>
              <w:rPr>
                <w:sz w:val="22"/>
                <w:szCs w:val="22"/>
              </w:rPr>
              <w:t>п. 4.3. ГОСТ Р ИСО 11199-1-2015</w:t>
            </w:r>
          </w:p>
        </w:tc>
        <w:tc>
          <w:tcPr>
            <w:tcW w:w="0" w:type="auto"/>
            <w:vMerge/>
            <w:tcBorders>
              <w:top w:val="single" w:sz="4" w:space="0" w:color="auto"/>
              <w:left w:val="single" w:sz="4" w:space="0" w:color="auto"/>
              <w:bottom w:val="nil"/>
              <w:right w:val="single" w:sz="4" w:space="0" w:color="auto"/>
            </w:tcBorders>
            <w:vAlign w:val="center"/>
            <w:hideMark/>
          </w:tcPr>
          <w:p w:rsidR="00284378" w:rsidRDefault="00284378"/>
        </w:tc>
      </w:tr>
      <w:tr w:rsidR="00284378" w:rsidTr="00284378">
        <w:trPr>
          <w:trHeight w:val="122"/>
        </w:trPr>
        <w:tc>
          <w:tcPr>
            <w:tcW w:w="0" w:type="auto"/>
            <w:vMerge/>
            <w:tcBorders>
              <w:top w:val="single" w:sz="4" w:space="0" w:color="auto"/>
              <w:left w:val="single" w:sz="4" w:space="0" w:color="auto"/>
              <w:bottom w:val="nil"/>
              <w:right w:val="single" w:sz="4" w:space="0" w:color="auto"/>
            </w:tcBorders>
            <w:vAlign w:val="center"/>
            <w:hideMark/>
          </w:tcPr>
          <w:p w:rsidR="00284378" w:rsidRDefault="00284378"/>
        </w:tc>
        <w:tc>
          <w:tcPr>
            <w:tcW w:w="1713" w:type="pct"/>
            <w:tcBorders>
              <w:top w:val="single" w:sz="4" w:space="0" w:color="auto"/>
              <w:left w:val="single" w:sz="4" w:space="0" w:color="auto"/>
              <w:bottom w:val="single" w:sz="4" w:space="0" w:color="auto"/>
              <w:right w:val="single" w:sz="4" w:space="0" w:color="auto"/>
            </w:tcBorders>
            <w:vAlign w:val="center"/>
            <w:hideMark/>
          </w:tcPr>
          <w:p w:rsidR="00284378" w:rsidRDefault="00284378">
            <w:pPr>
              <w:widowControl w:val="0"/>
              <w:snapToGrid w:val="0"/>
            </w:pPr>
            <w:r>
              <w:rPr>
                <w:bCs/>
                <w:color w:val="000000"/>
              </w:rPr>
              <w:t>Опоры ходунков должны иметь наконечники</w:t>
            </w:r>
          </w:p>
        </w:tc>
        <w:tc>
          <w:tcPr>
            <w:tcW w:w="919" w:type="pct"/>
            <w:tcBorders>
              <w:top w:val="single" w:sz="4" w:space="0" w:color="auto"/>
              <w:left w:val="single" w:sz="4" w:space="0" w:color="auto"/>
              <w:bottom w:val="single" w:sz="4" w:space="0" w:color="auto"/>
              <w:right w:val="single" w:sz="4" w:space="0" w:color="auto"/>
            </w:tcBorders>
            <w:vAlign w:val="center"/>
            <w:hideMark/>
          </w:tcPr>
          <w:p w:rsidR="00284378" w:rsidRDefault="00284378">
            <w:pPr>
              <w:widowControl w:val="0"/>
              <w:snapToGrid w:val="0"/>
              <w:jc w:val="center"/>
            </w:pPr>
            <w:r>
              <w:rPr>
                <w:bCs/>
                <w:color w:val="000000"/>
              </w:rPr>
              <w:t>Наличие</w:t>
            </w:r>
          </w:p>
        </w:tc>
        <w:tc>
          <w:tcPr>
            <w:tcW w:w="1203" w:type="pct"/>
            <w:tcBorders>
              <w:top w:val="single" w:sz="4" w:space="0" w:color="auto"/>
              <w:left w:val="single" w:sz="4" w:space="0" w:color="auto"/>
              <w:bottom w:val="single" w:sz="4" w:space="0" w:color="auto"/>
              <w:right w:val="single" w:sz="4" w:space="0" w:color="auto"/>
            </w:tcBorders>
            <w:vAlign w:val="bottom"/>
            <w:hideMark/>
          </w:tcPr>
          <w:p w:rsidR="00284378" w:rsidRDefault="00284378">
            <w:pPr>
              <w:autoSpaceDE w:val="0"/>
              <w:autoSpaceDN w:val="0"/>
              <w:adjustRightInd w:val="0"/>
              <w:jc w:val="center"/>
              <w:rPr>
                <w:sz w:val="22"/>
                <w:szCs w:val="22"/>
              </w:rPr>
            </w:pPr>
            <w:r>
              <w:rPr>
                <w:sz w:val="22"/>
                <w:szCs w:val="22"/>
              </w:rPr>
              <w:t>п. 4.5. ГОСТ Р ИСО 11199-1-2015</w:t>
            </w:r>
          </w:p>
        </w:tc>
        <w:tc>
          <w:tcPr>
            <w:tcW w:w="0" w:type="auto"/>
            <w:vMerge/>
            <w:tcBorders>
              <w:top w:val="single" w:sz="4" w:space="0" w:color="auto"/>
              <w:left w:val="single" w:sz="4" w:space="0" w:color="auto"/>
              <w:bottom w:val="nil"/>
              <w:right w:val="single" w:sz="4" w:space="0" w:color="auto"/>
            </w:tcBorders>
            <w:vAlign w:val="center"/>
            <w:hideMark/>
          </w:tcPr>
          <w:p w:rsidR="00284378" w:rsidRDefault="00284378"/>
        </w:tc>
      </w:tr>
      <w:tr w:rsidR="00284378" w:rsidTr="00284378">
        <w:trPr>
          <w:trHeight w:val="122"/>
        </w:trPr>
        <w:tc>
          <w:tcPr>
            <w:tcW w:w="0" w:type="auto"/>
            <w:vMerge/>
            <w:tcBorders>
              <w:top w:val="single" w:sz="4" w:space="0" w:color="auto"/>
              <w:left w:val="single" w:sz="4" w:space="0" w:color="auto"/>
              <w:bottom w:val="nil"/>
              <w:right w:val="single" w:sz="4" w:space="0" w:color="auto"/>
            </w:tcBorders>
            <w:vAlign w:val="center"/>
            <w:hideMark/>
          </w:tcPr>
          <w:p w:rsidR="00284378" w:rsidRDefault="00284378"/>
        </w:tc>
        <w:tc>
          <w:tcPr>
            <w:tcW w:w="1713" w:type="pct"/>
            <w:tcBorders>
              <w:top w:val="single" w:sz="4" w:space="0" w:color="auto"/>
              <w:left w:val="single" w:sz="4" w:space="0" w:color="auto"/>
              <w:bottom w:val="single" w:sz="4" w:space="0" w:color="auto"/>
              <w:right w:val="single" w:sz="4" w:space="0" w:color="auto"/>
            </w:tcBorders>
            <w:vAlign w:val="center"/>
            <w:hideMark/>
          </w:tcPr>
          <w:p w:rsidR="00284378" w:rsidRDefault="00284378">
            <w:pPr>
              <w:autoSpaceDE w:val="0"/>
              <w:snapToGrid w:val="0"/>
              <w:rPr>
                <w:bCs/>
              </w:rPr>
            </w:pPr>
            <w:r>
              <w:rPr>
                <w:bCs/>
              </w:rPr>
              <w:t>Ширина рукоятки</w:t>
            </w:r>
          </w:p>
        </w:tc>
        <w:tc>
          <w:tcPr>
            <w:tcW w:w="919" w:type="pct"/>
            <w:tcBorders>
              <w:top w:val="single" w:sz="4" w:space="0" w:color="auto"/>
              <w:left w:val="single" w:sz="4" w:space="0" w:color="auto"/>
              <w:bottom w:val="single" w:sz="4" w:space="0" w:color="auto"/>
              <w:right w:val="single" w:sz="4" w:space="0" w:color="auto"/>
            </w:tcBorders>
            <w:vAlign w:val="center"/>
            <w:hideMark/>
          </w:tcPr>
          <w:p w:rsidR="00284378" w:rsidRDefault="00284378">
            <w:pPr>
              <w:widowControl w:val="0"/>
              <w:snapToGrid w:val="0"/>
              <w:jc w:val="center"/>
              <w:rPr>
                <w:bCs/>
                <w:color w:val="000000"/>
              </w:rPr>
            </w:pPr>
            <w:r>
              <w:rPr>
                <w:bCs/>
                <w:color w:val="000000"/>
              </w:rPr>
              <w:t>Не менее 20 мм (включительно)</w:t>
            </w:r>
          </w:p>
          <w:p w:rsidR="00284378" w:rsidRDefault="00284378">
            <w:pPr>
              <w:widowControl w:val="0"/>
              <w:snapToGrid w:val="0"/>
              <w:jc w:val="center"/>
              <w:rPr>
                <w:bCs/>
                <w:color w:val="000000"/>
              </w:rPr>
            </w:pPr>
            <w:r>
              <w:rPr>
                <w:bCs/>
                <w:color w:val="000000"/>
              </w:rPr>
              <w:t>Не более 50 мм</w:t>
            </w:r>
          </w:p>
          <w:p w:rsidR="00284378" w:rsidRDefault="00284378">
            <w:pPr>
              <w:autoSpaceDE w:val="0"/>
              <w:snapToGrid w:val="0"/>
              <w:jc w:val="center"/>
              <w:rPr>
                <w:bCs/>
                <w:color w:val="000000"/>
              </w:rPr>
            </w:pPr>
            <w:r>
              <w:rPr>
                <w:bCs/>
                <w:color w:val="000000"/>
              </w:rPr>
              <w:t>(включительно)</w:t>
            </w:r>
          </w:p>
        </w:tc>
        <w:tc>
          <w:tcPr>
            <w:tcW w:w="1203" w:type="pct"/>
            <w:tcBorders>
              <w:top w:val="single" w:sz="4" w:space="0" w:color="auto"/>
              <w:left w:val="single" w:sz="4" w:space="0" w:color="auto"/>
              <w:bottom w:val="single" w:sz="4" w:space="0" w:color="auto"/>
              <w:right w:val="single" w:sz="4" w:space="0" w:color="auto"/>
            </w:tcBorders>
            <w:vAlign w:val="bottom"/>
            <w:hideMark/>
          </w:tcPr>
          <w:p w:rsidR="00284378" w:rsidRDefault="00284378">
            <w:pPr>
              <w:autoSpaceDE w:val="0"/>
              <w:autoSpaceDN w:val="0"/>
              <w:adjustRightInd w:val="0"/>
              <w:jc w:val="center"/>
              <w:rPr>
                <w:sz w:val="22"/>
                <w:szCs w:val="22"/>
              </w:rPr>
            </w:pPr>
            <w:r>
              <w:rPr>
                <w:sz w:val="22"/>
                <w:szCs w:val="22"/>
              </w:rPr>
              <w:t>п. 4.4. ГОСТ Р ИСО 11199-1-2015</w:t>
            </w:r>
          </w:p>
        </w:tc>
        <w:tc>
          <w:tcPr>
            <w:tcW w:w="0" w:type="auto"/>
            <w:vMerge/>
            <w:tcBorders>
              <w:top w:val="single" w:sz="4" w:space="0" w:color="auto"/>
              <w:left w:val="single" w:sz="4" w:space="0" w:color="auto"/>
              <w:bottom w:val="nil"/>
              <w:right w:val="single" w:sz="4" w:space="0" w:color="auto"/>
            </w:tcBorders>
            <w:vAlign w:val="center"/>
            <w:hideMark/>
          </w:tcPr>
          <w:p w:rsidR="00284378" w:rsidRDefault="00284378"/>
        </w:tc>
      </w:tr>
      <w:tr w:rsidR="00284378" w:rsidTr="00284378">
        <w:trPr>
          <w:trHeight w:val="540"/>
        </w:trPr>
        <w:tc>
          <w:tcPr>
            <w:tcW w:w="0" w:type="auto"/>
            <w:vMerge/>
            <w:tcBorders>
              <w:top w:val="single" w:sz="4" w:space="0" w:color="auto"/>
              <w:left w:val="single" w:sz="4" w:space="0" w:color="auto"/>
              <w:bottom w:val="nil"/>
              <w:right w:val="single" w:sz="4" w:space="0" w:color="auto"/>
            </w:tcBorders>
            <w:vAlign w:val="center"/>
            <w:hideMark/>
          </w:tcPr>
          <w:p w:rsidR="00284378" w:rsidRDefault="00284378"/>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284378" w:rsidRDefault="00284378">
            <w:pPr>
              <w:widowControl w:val="0"/>
              <w:snapToGrid w:val="0"/>
              <w:rPr>
                <w:bCs/>
              </w:rPr>
            </w:pPr>
            <w:r>
              <w:rPr>
                <w:bCs/>
              </w:rPr>
              <w:t>Возможность подбора Изделия в зависимости от роста пользователя</w:t>
            </w:r>
          </w:p>
        </w:tc>
        <w:tc>
          <w:tcPr>
            <w:tcW w:w="919" w:type="pct"/>
            <w:vMerge w:val="restart"/>
            <w:tcBorders>
              <w:top w:val="single" w:sz="4" w:space="0" w:color="auto"/>
              <w:left w:val="single" w:sz="4" w:space="0" w:color="auto"/>
              <w:bottom w:val="single" w:sz="4" w:space="0" w:color="auto"/>
              <w:right w:val="single" w:sz="4" w:space="0" w:color="auto"/>
            </w:tcBorders>
            <w:vAlign w:val="center"/>
            <w:hideMark/>
          </w:tcPr>
          <w:p w:rsidR="00284378" w:rsidRDefault="00284378">
            <w:pPr>
              <w:snapToGrid w:val="0"/>
              <w:jc w:val="center"/>
              <w:rPr>
                <w:bCs/>
                <w:color w:val="000000"/>
              </w:rPr>
            </w:pPr>
            <w:r>
              <w:rPr>
                <w:bCs/>
                <w:color w:val="000000"/>
              </w:rPr>
              <w:t xml:space="preserve">Наличие </w:t>
            </w:r>
          </w:p>
        </w:tc>
        <w:tc>
          <w:tcPr>
            <w:tcW w:w="1203" w:type="pct"/>
            <w:vMerge w:val="restart"/>
            <w:tcBorders>
              <w:top w:val="single" w:sz="4" w:space="0" w:color="auto"/>
              <w:left w:val="single" w:sz="4" w:space="0" w:color="auto"/>
              <w:bottom w:val="single" w:sz="4" w:space="0" w:color="auto"/>
              <w:right w:val="single" w:sz="4" w:space="0" w:color="auto"/>
            </w:tcBorders>
            <w:vAlign w:val="center"/>
            <w:hideMark/>
          </w:tcPr>
          <w:p w:rsidR="00284378" w:rsidRDefault="00284378">
            <w:pPr>
              <w:autoSpaceDE w:val="0"/>
              <w:autoSpaceDN w:val="0"/>
              <w:adjustRightInd w:val="0"/>
              <w:jc w:val="center"/>
              <w:rPr>
                <w:sz w:val="22"/>
                <w:szCs w:val="22"/>
              </w:rPr>
            </w:pPr>
            <w:r>
              <w:rPr>
                <w:sz w:val="22"/>
                <w:szCs w:val="22"/>
              </w:rPr>
              <w:t>В соответствии с антропометрическими данными заявителей</w:t>
            </w:r>
          </w:p>
        </w:tc>
        <w:tc>
          <w:tcPr>
            <w:tcW w:w="0" w:type="auto"/>
            <w:vMerge/>
            <w:tcBorders>
              <w:top w:val="single" w:sz="4" w:space="0" w:color="auto"/>
              <w:left w:val="single" w:sz="4" w:space="0" w:color="auto"/>
              <w:bottom w:val="nil"/>
              <w:right w:val="single" w:sz="4" w:space="0" w:color="auto"/>
            </w:tcBorders>
            <w:vAlign w:val="center"/>
            <w:hideMark/>
          </w:tcPr>
          <w:p w:rsidR="00284378" w:rsidRDefault="00284378"/>
        </w:tc>
      </w:tr>
      <w:tr w:rsidR="00284378" w:rsidTr="00284378">
        <w:trPr>
          <w:trHeight w:val="408"/>
        </w:trPr>
        <w:tc>
          <w:tcPr>
            <w:tcW w:w="672" w:type="pct"/>
            <w:tcBorders>
              <w:top w:val="nil"/>
              <w:left w:val="single" w:sz="4" w:space="0" w:color="auto"/>
              <w:bottom w:val="single" w:sz="4" w:space="0" w:color="auto"/>
              <w:right w:val="single" w:sz="4" w:space="0" w:color="auto"/>
            </w:tcBorders>
          </w:tcPr>
          <w:p w:rsidR="00284378" w:rsidRDefault="00284378">
            <w:pPr>
              <w:pStyle w:val="Web"/>
              <w:snapToGrid w:val="0"/>
              <w:spacing w:before="0" w:after="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378" w:rsidRDefault="00284378">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378" w:rsidRDefault="00284378">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378" w:rsidRDefault="00284378">
            <w:pPr>
              <w:rPr>
                <w:sz w:val="22"/>
                <w:szCs w:val="22"/>
              </w:rPr>
            </w:pPr>
          </w:p>
        </w:tc>
        <w:tc>
          <w:tcPr>
            <w:tcW w:w="493" w:type="pct"/>
            <w:tcBorders>
              <w:top w:val="nil"/>
              <w:left w:val="single" w:sz="4" w:space="0" w:color="auto"/>
              <w:bottom w:val="single" w:sz="4" w:space="0" w:color="auto"/>
              <w:right w:val="single" w:sz="4" w:space="0" w:color="auto"/>
            </w:tcBorders>
            <w:vAlign w:val="center"/>
          </w:tcPr>
          <w:p w:rsidR="00284378" w:rsidRDefault="00284378">
            <w:pPr>
              <w:suppressAutoHyphens/>
              <w:ind w:firstLine="35"/>
              <w:jc w:val="center"/>
            </w:pPr>
          </w:p>
        </w:tc>
      </w:tr>
      <w:tr w:rsidR="00284378" w:rsidTr="00284378">
        <w:trPr>
          <w:trHeight w:val="399"/>
        </w:trPr>
        <w:tc>
          <w:tcPr>
            <w:tcW w:w="3304" w:type="pct"/>
            <w:gridSpan w:val="3"/>
            <w:tcBorders>
              <w:top w:val="single" w:sz="4" w:space="0" w:color="auto"/>
              <w:left w:val="single" w:sz="4" w:space="0" w:color="auto"/>
              <w:bottom w:val="single" w:sz="4" w:space="0" w:color="auto"/>
              <w:right w:val="single" w:sz="4" w:space="0" w:color="auto"/>
            </w:tcBorders>
            <w:vAlign w:val="center"/>
            <w:hideMark/>
          </w:tcPr>
          <w:p w:rsidR="00284378" w:rsidRDefault="00284378">
            <w:pPr>
              <w:tabs>
                <w:tab w:val="num" w:pos="252"/>
              </w:tabs>
              <w:snapToGrid w:val="0"/>
              <w:ind w:left="-4"/>
              <w:rPr>
                <w:rFonts w:eastAsia="Arial Unicode MS"/>
                <w:b/>
              </w:rPr>
            </w:pPr>
            <w:proofErr w:type="gramStart"/>
            <w:r>
              <w:rPr>
                <w:b/>
              </w:rPr>
              <w:t>ИТОГО</w:t>
            </w:r>
            <w:r>
              <w:rPr>
                <w:rFonts w:eastAsia="Arial Unicode MS"/>
                <w:b/>
              </w:rPr>
              <w:t xml:space="preserve">:   </w:t>
            </w:r>
            <w:proofErr w:type="gramEnd"/>
            <w:r>
              <w:rPr>
                <w:rFonts w:eastAsia="Arial Unicode MS"/>
                <w:b/>
              </w:rPr>
              <w:t xml:space="preserve">                      </w:t>
            </w:r>
          </w:p>
        </w:tc>
        <w:tc>
          <w:tcPr>
            <w:tcW w:w="1203" w:type="pct"/>
            <w:tcBorders>
              <w:top w:val="single" w:sz="4" w:space="0" w:color="auto"/>
              <w:left w:val="single" w:sz="4" w:space="0" w:color="auto"/>
              <w:bottom w:val="single" w:sz="4" w:space="0" w:color="auto"/>
              <w:right w:val="single" w:sz="4" w:space="0" w:color="auto"/>
            </w:tcBorders>
          </w:tcPr>
          <w:p w:rsidR="00284378" w:rsidRDefault="00284378">
            <w:pPr>
              <w:tabs>
                <w:tab w:val="num" w:pos="202"/>
              </w:tabs>
              <w:suppressAutoHyphens/>
              <w:ind w:firstLine="180"/>
              <w:jc w:val="center"/>
              <w:rPr>
                <w:b/>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284378" w:rsidRDefault="00284378">
            <w:pPr>
              <w:tabs>
                <w:tab w:val="num" w:pos="202"/>
              </w:tabs>
              <w:suppressAutoHyphens/>
              <w:ind w:left="-158" w:firstLine="180"/>
              <w:jc w:val="center"/>
              <w:rPr>
                <w:b/>
                <w:lang w:val="en-US"/>
              </w:rPr>
            </w:pPr>
            <w:r>
              <w:rPr>
                <w:b/>
              </w:rPr>
              <w:t>1000</w:t>
            </w:r>
          </w:p>
        </w:tc>
      </w:tr>
    </w:tbl>
    <w:p w:rsidR="00284378" w:rsidRDefault="00284378" w:rsidP="00284378">
      <w:pPr>
        <w:jc w:val="both"/>
        <w:rPr>
          <w:lang w:eastAsia="ar-SA"/>
        </w:rPr>
      </w:pPr>
    </w:p>
    <w:p w:rsidR="00284378" w:rsidRDefault="00284378" w:rsidP="00284378">
      <w:pPr>
        <w:jc w:val="both"/>
      </w:pPr>
      <w:r>
        <w:t>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284378" w:rsidRDefault="00284378" w:rsidP="00284378">
      <w:pPr>
        <w:widowControl w:val="0"/>
        <w:suppressAutoHyphens/>
        <w:jc w:val="both"/>
      </w:pPr>
      <w:r>
        <w:t xml:space="preserve">1.5. Поставляемые Изделия должны соответствовать ГОСТ Р ИСО 11199-1-2015 «Средства </w:t>
      </w:r>
      <w:r>
        <w:lastRenderedPageBreak/>
        <w:t>вспомогательные для ходьбы, управляемые обеими руками. Требования и методы испытаний. Часть 1. Ходунки».</w:t>
      </w:r>
    </w:p>
    <w:p w:rsidR="00284378" w:rsidRDefault="00284378" w:rsidP="00284378">
      <w:pPr>
        <w:jc w:val="both"/>
        <w:rPr>
          <w:sz w:val="23"/>
          <w:szCs w:val="23"/>
        </w:rPr>
      </w:pPr>
      <w:r>
        <w:t xml:space="preserve">1.6. </w:t>
      </w:r>
      <w:r>
        <w:rPr>
          <w:sz w:val="23"/>
          <w:szCs w:val="23"/>
        </w:rPr>
        <w:t>Гарантийный ремонт Изделия осуществляется Поставщиком в период гарантийного срока.</w:t>
      </w:r>
    </w:p>
    <w:p w:rsidR="00284378" w:rsidRDefault="00284378" w:rsidP="00284378">
      <w:pPr>
        <w:suppressAutoHyphens/>
        <w:spacing w:line="240" w:lineRule="atLeast"/>
        <w:jc w:val="both"/>
        <w:rPr>
          <w:sz w:val="23"/>
          <w:szCs w:val="23"/>
        </w:rPr>
      </w:pPr>
      <w:r>
        <w:rPr>
          <w:sz w:val="23"/>
          <w:szCs w:val="23"/>
        </w:rPr>
        <w:t>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 указанного в гарантийном талоне. Гарантия Поставщика – не менее 12 месяцев с момента получения Изделия Получателем. Срок выполнения гарантийного ремонта, либо замены изделия со дня обращения получателя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Поставщик должен осуществить замену такого Изделия. В связи с тем, что передача Изделия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Изделия, а также содержащий адрес (адреса) и режим работы пункта (пунктов) приема Получателей.</w:t>
      </w:r>
    </w:p>
    <w:p w:rsidR="00284378" w:rsidRDefault="00284378" w:rsidP="00284378">
      <w:pPr>
        <w:jc w:val="both"/>
        <w:rPr>
          <w:sz w:val="23"/>
          <w:szCs w:val="23"/>
        </w:rPr>
      </w:pPr>
      <w:r>
        <w:rPr>
          <w:sz w:val="23"/>
          <w:szCs w:val="23"/>
        </w:rPr>
        <w:t>Прием Получателя по вопросам, касающимся выдачи и гарантийного ремонта Изделия, осуществляется Поставщиком по месту нахождения организованных Поставщиком пунктов приема (не менее 1 (одного)) на территории Санкт-Петербурга.</w:t>
      </w:r>
    </w:p>
    <w:p w:rsidR="00284378" w:rsidRDefault="00284378" w:rsidP="00284378">
      <w:pPr>
        <w:jc w:val="both"/>
        <w:rPr>
          <w:b/>
        </w:rPr>
      </w:pPr>
    </w:p>
    <w:p w:rsidR="00284378" w:rsidRDefault="00284378" w:rsidP="00284378">
      <w:pPr>
        <w:jc w:val="both"/>
        <w:rPr>
          <w:b/>
        </w:rPr>
      </w:pPr>
      <w:r>
        <w:rPr>
          <w:b/>
        </w:rPr>
        <w:t>2. Поставщик обязан:</w:t>
      </w:r>
    </w:p>
    <w:p w:rsidR="00284378" w:rsidRDefault="00284378" w:rsidP="00284378">
      <w:pPr>
        <w:jc w:val="both"/>
        <w:rPr>
          <w:lang w:eastAsia="ar-SA"/>
        </w:rPr>
      </w:pPr>
      <w:r>
        <w:t xml:space="preserve">2.1. </w:t>
      </w:r>
      <w:r>
        <w:rPr>
          <w:spacing w:val="-4"/>
        </w:rPr>
        <w:t>Поставлять Изделие Получателям, имеющие действующие регистрационные удостоверения,</w:t>
      </w:r>
      <w:r>
        <w:t xml:space="preserve"> выданные Федеральной службой по надзору в сфере здравоохранения, </w:t>
      </w:r>
      <w:r>
        <w:rPr>
          <w:lang w:eastAsia="ar-SA"/>
        </w:rPr>
        <w:t>декларации о соответствии, оформленные в соответствии с законодательством Российской Федерации</w:t>
      </w:r>
      <w:r>
        <w:t>, в соответствии с требованиями, предъявляемыми в настоящем техническом задании, в период действия государственного контракта</w:t>
      </w:r>
      <w:r>
        <w:rPr>
          <w:lang w:eastAsia="ar-SA"/>
        </w:rPr>
        <w:t>. В случае если ранее (в соответствии с нормативно-правовыми актами Российской Федерации) Изделие подлежало обязательной сертификации, допускается поставка Изделия, имеющего действующий сертификат соответствия.</w:t>
      </w:r>
    </w:p>
    <w:p w:rsidR="00284378" w:rsidRDefault="00284378" w:rsidP="00284378">
      <w:pPr>
        <w:jc w:val="both"/>
      </w:pPr>
      <w:r>
        <w:rPr>
          <w:lang w:eastAsia="ar-SA"/>
        </w:rPr>
        <w:t>2.2. Осуществлять поставку путем передачи Изделий Получателям или их представителям при представлении им паспорта и направления (по форме, утвержденной приказом Министерства здравоохранения и социального развития Российской Федерации от 21.08.2008 № 439н),</w:t>
      </w:r>
      <w:r>
        <w:t xml:space="preserve"> выдаваемого Заказчиком, подписанного уполномоченным на дату выдачи направления лицом Заказчика.</w:t>
      </w:r>
    </w:p>
    <w:p w:rsidR="00284378" w:rsidRDefault="00284378" w:rsidP="00284378">
      <w:pPr>
        <w:jc w:val="both"/>
      </w:pPr>
      <w: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284378" w:rsidRDefault="00284378" w:rsidP="00284378">
      <w:pPr>
        <w:spacing w:line="240" w:lineRule="atLeast"/>
        <w:jc w:val="both"/>
        <w:rPr>
          <w:lang w:eastAsia="ar-SA"/>
        </w:rPr>
      </w:pPr>
      <w: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284378" w:rsidRDefault="00284378" w:rsidP="00284378">
      <w:pPr>
        <w:suppressAutoHyphens/>
        <w:jc w:val="both"/>
        <w:rPr>
          <w:lang w:eastAsia="ar-SA"/>
        </w:rPr>
      </w:pPr>
      <w:r>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284378" w:rsidRDefault="00284378" w:rsidP="00284378">
      <w:pPr>
        <w:jc w:val="both"/>
      </w:pPr>
      <w: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284378" w:rsidRDefault="00284378" w:rsidP="00284378">
      <w:pPr>
        <w:widowControl w:val="0"/>
        <w:jc w:val="both"/>
        <w:rPr>
          <w:bCs/>
        </w:rPr>
      </w:pPr>
      <w:r>
        <w:t xml:space="preserve">2.3. Обеспечить возможность выдачи Изделий со дня, следующего за днем заключения государственного контракта. </w:t>
      </w:r>
    </w:p>
    <w:p w:rsidR="00284378" w:rsidRDefault="00284378" w:rsidP="00284378">
      <w:pPr>
        <w:jc w:val="both"/>
        <w:rPr>
          <w:sz w:val="22"/>
          <w:szCs w:val="22"/>
        </w:rPr>
      </w:pPr>
      <w:r>
        <w:t xml:space="preserve">2.4. Давать справки Получателям по вопросам, связанным с поставкой Изделий. </w:t>
      </w:r>
      <w:r>
        <w:rPr>
          <w:szCs w:val="22"/>
        </w:rPr>
        <w:t xml:space="preserve">Для звонков Получателей должен быть выделен телефонный номер, указанный в приложении к государственному контракту. </w:t>
      </w:r>
    </w:p>
    <w:p w:rsidR="00284378" w:rsidRDefault="00284378" w:rsidP="00284378">
      <w:pPr>
        <w:jc w:val="both"/>
      </w:pPr>
      <w: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w:t>
      </w:r>
      <w:r>
        <w:lastRenderedPageBreak/>
        <w:t xml:space="preserve">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284378" w:rsidRDefault="00284378" w:rsidP="00284378">
      <w:pPr>
        <w:jc w:val="both"/>
        <w:rPr>
          <w:szCs w:val="28"/>
        </w:rPr>
      </w:pPr>
      <w:r>
        <w:rPr>
          <w:szCs w:val="28"/>
        </w:rPr>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284378" w:rsidRDefault="00284378" w:rsidP="00284378">
      <w:pPr>
        <w:jc w:val="both"/>
      </w:pPr>
      <w: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284378" w:rsidRDefault="00284378" w:rsidP="00284378">
      <w:pPr>
        <w:jc w:val="both"/>
        <w:rPr>
          <w:szCs w:val="28"/>
        </w:rPr>
      </w:pPr>
      <w:r>
        <w:rPr>
          <w:szCs w:val="28"/>
        </w:rPr>
        <w:t>Предоставлять Заказчику в рамках подтверждения исполнения государственного контракта журнал телефонных звонков.</w:t>
      </w:r>
    </w:p>
    <w:p w:rsidR="00284378" w:rsidRDefault="00284378" w:rsidP="00284378">
      <w:pPr>
        <w:jc w:val="both"/>
      </w:pPr>
      <w:r>
        <w:t xml:space="preserve">2.6. Давать справки Получателям по вопросам, связанным с поставкой Изделий, в часы работы пунктов приема. </w:t>
      </w:r>
    </w:p>
    <w:p w:rsidR="00284378" w:rsidRDefault="00284378" w:rsidP="00284378">
      <w:pPr>
        <w:suppressAutoHyphens/>
        <w:spacing w:line="240" w:lineRule="atLeast"/>
        <w:jc w:val="both"/>
        <w:rPr>
          <w:b/>
        </w:rPr>
      </w:pPr>
    </w:p>
    <w:p w:rsidR="00284378" w:rsidRDefault="00284378" w:rsidP="00284378">
      <w:pPr>
        <w:suppressAutoHyphens/>
        <w:spacing w:line="240" w:lineRule="atLeast"/>
        <w:jc w:val="both"/>
        <w:rPr>
          <w:b/>
        </w:rPr>
      </w:pPr>
      <w:r>
        <w:rPr>
          <w:b/>
        </w:rPr>
        <w:t>3. Способ поставки:</w:t>
      </w:r>
    </w:p>
    <w:p w:rsidR="00284378" w:rsidRDefault="00284378" w:rsidP="00284378">
      <w:pPr>
        <w:suppressAutoHyphens/>
        <w:spacing w:line="240" w:lineRule="atLeast"/>
        <w:jc w:val="both"/>
      </w:pPr>
      <w:r>
        <w:t xml:space="preserve">3.1. Поставщик передает Изделия Получателям следующими способами: </w:t>
      </w:r>
    </w:p>
    <w:p w:rsidR="00284378" w:rsidRDefault="00284378" w:rsidP="00284378">
      <w:pPr>
        <w:suppressAutoHyphens/>
        <w:spacing w:line="240" w:lineRule="atLeast"/>
        <w:jc w:val="both"/>
      </w:pPr>
      <w:r>
        <w:t>- по месту нахождения пункта (пунктов) приема, организованного Поставщиком, в день обращения Получателя,</w:t>
      </w:r>
    </w:p>
    <w:p w:rsidR="00284378" w:rsidRDefault="00284378" w:rsidP="00284378">
      <w:pPr>
        <w:suppressAutoHyphens/>
        <w:spacing w:line="240" w:lineRule="atLeast"/>
        <w:jc w:val="both"/>
      </w:pPr>
      <w:r>
        <w:t xml:space="preserve">- по месту нахождения Получателя. </w:t>
      </w:r>
    </w:p>
    <w:p w:rsidR="00284378" w:rsidRDefault="00284378" w:rsidP="00284378">
      <w:pPr>
        <w:suppressAutoHyphens/>
        <w:spacing w:line="240" w:lineRule="atLeast"/>
        <w:jc w:val="both"/>
      </w:pPr>
      <w:r>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284378" w:rsidRDefault="00284378" w:rsidP="00284378">
      <w:pPr>
        <w:suppressAutoHyphens/>
        <w:spacing w:line="240" w:lineRule="atLeast"/>
        <w:jc w:val="both"/>
      </w:pPr>
      <w:r>
        <w:t>3.2.1. Пункт (пункты)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помещение пункта (пунктов) выдачи. Адрес и график работы пункта (пунктов) должны быть указаны в приложении к государственному контракту. Количество пунктов приема – не менее 1 (одного).</w:t>
      </w:r>
    </w:p>
    <w:p w:rsidR="00284378" w:rsidRDefault="00284378" w:rsidP="00284378">
      <w:pPr>
        <w:suppressAutoHyphens/>
        <w:spacing w:line="240" w:lineRule="atLeast"/>
        <w:jc w:val="both"/>
      </w:pPr>
      <w:r>
        <w:t>Максимальное время ожидания Получателей в очереди не должно превышать 15 минут.</w:t>
      </w:r>
    </w:p>
    <w:p w:rsidR="00284378" w:rsidRDefault="00284378" w:rsidP="00284378">
      <w:pPr>
        <w:suppressAutoHyphens/>
        <w:spacing w:line="240" w:lineRule="atLeast"/>
        <w:jc w:val="both"/>
      </w:pPr>
      <w:r>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284378" w:rsidRDefault="00284378" w:rsidP="00284378">
      <w:pPr>
        <w:spacing w:line="240" w:lineRule="atLeast"/>
        <w:jc w:val="both"/>
      </w:pPr>
      <w:r>
        <w:t>Проход в пункт (пункты) приема и передвижение по ним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p>
    <w:p w:rsidR="00284378" w:rsidRDefault="00284378" w:rsidP="00284378">
      <w:pPr>
        <w:jc w:val="both"/>
      </w:pPr>
      <w:r>
        <w:t>3.2.3. В случае выбора Получателем способа получения Изделия по месту нахождения пункта (пунктов)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284378" w:rsidRDefault="00284378" w:rsidP="00284378">
      <w:pPr>
        <w:jc w:val="both"/>
      </w:pPr>
      <w:r>
        <w:t>3.2.4. Передача Изделий Получателям должна производиться в пункте (пунктах)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284378" w:rsidRDefault="00284378" w:rsidP="00284378">
      <w:pPr>
        <w:spacing w:line="240" w:lineRule="atLeast"/>
        <w:jc w:val="both"/>
      </w:pPr>
      <w:r>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284378" w:rsidRDefault="00284378" w:rsidP="00284378">
      <w:pPr>
        <w:jc w:val="both"/>
      </w:pPr>
      <w:r>
        <w:rPr>
          <w:szCs w:val="28"/>
        </w:rPr>
        <w:t xml:space="preserve">Поставщик обязан информировать </w:t>
      </w:r>
      <w:r>
        <w:t>Заказчика</w:t>
      </w:r>
      <w:r>
        <w:rPr>
          <w:szCs w:val="28"/>
        </w:rPr>
        <w:t xml:space="preserve"> </w:t>
      </w:r>
      <w:r>
        <w:t xml:space="preserve">о невозможности доставки Изделия Получателю </w:t>
      </w:r>
      <w:r>
        <w:rPr>
          <w:szCs w:val="28"/>
        </w:rPr>
        <w:t>не позднее дня, следующего за днем доставки, согласованным с Получателем</w:t>
      </w:r>
      <w:r>
        <w:t>.</w:t>
      </w:r>
    </w:p>
    <w:p w:rsidR="00284378" w:rsidRDefault="00284378" w:rsidP="00284378">
      <w:pPr>
        <w:jc w:val="both"/>
      </w:pPr>
      <w:bookmarkStart w:id="0" w:name="_GoBack"/>
      <w:bookmarkEnd w:id="0"/>
      <w:r>
        <w:lastRenderedPageBreak/>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284378" w:rsidRDefault="00284378" w:rsidP="00284378">
      <w:pPr>
        <w:jc w:val="both"/>
      </w:pPr>
      <w:r>
        <w:t>При проведении выборочной проверки Заказчик вправе осуществлять видеозапись.</w:t>
      </w:r>
    </w:p>
    <w:p w:rsidR="00284378" w:rsidRDefault="00284378" w:rsidP="00284378">
      <w:pPr>
        <w:widowControl w:val="0"/>
      </w:pPr>
      <w:r>
        <w:t>В день, следующий за днем заключения контракта, на пунктах приема должно находиться не менее 10% от общего количества товара, предусмотренного контрактом.</w:t>
      </w:r>
    </w:p>
    <w:p w:rsidR="00284378" w:rsidRDefault="00284378" w:rsidP="00284378">
      <w:pPr>
        <w:sectPr w:rsidR="00284378">
          <w:pgSz w:w="11906" w:h="16838"/>
          <w:pgMar w:top="1134" w:right="748" w:bottom="1134" w:left="1259" w:header="0" w:footer="258" w:gutter="0"/>
          <w:cols w:space="720"/>
        </w:sectPr>
      </w:pPr>
    </w:p>
    <w:p w:rsidR="00284378" w:rsidRDefault="00284378" w:rsidP="00284378">
      <w:pPr>
        <w:autoSpaceDE w:val="0"/>
        <w:autoSpaceDN w:val="0"/>
        <w:adjustRightInd w:val="0"/>
        <w:jc w:val="both"/>
        <w:rPr>
          <w:b/>
        </w:rPr>
      </w:pPr>
    </w:p>
    <w:p w:rsidR="00284378" w:rsidRDefault="00284378" w:rsidP="00284378">
      <w:pPr>
        <w:autoSpaceDE w:val="0"/>
        <w:autoSpaceDN w:val="0"/>
        <w:adjustRightInd w:val="0"/>
        <w:jc w:val="both"/>
        <w:rPr>
          <w:b/>
        </w:rPr>
      </w:pPr>
    </w:p>
    <w:p w:rsidR="00284378" w:rsidRDefault="00284378" w:rsidP="00284378">
      <w:pPr>
        <w:autoSpaceDE w:val="0"/>
        <w:autoSpaceDN w:val="0"/>
        <w:adjustRightInd w:val="0"/>
        <w:jc w:val="both"/>
        <w:rPr>
          <w:b/>
        </w:rPr>
      </w:pPr>
      <w:r>
        <w:rPr>
          <w:b/>
        </w:rPr>
        <w:t>Требования к Участнику аукциона в электронной форме:</w:t>
      </w:r>
    </w:p>
    <w:p w:rsidR="00284378" w:rsidRDefault="00284378" w:rsidP="00284378">
      <w:pPr>
        <w:jc w:val="both"/>
      </w:pPr>
      <w:r>
        <w:t xml:space="preserve">1. </w:t>
      </w:r>
      <w:bookmarkStart w:id="1" w:name="Par0"/>
      <w:bookmarkStart w:id="2" w:name="Par2"/>
      <w:bookmarkStart w:id="3" w:name="Par3"/>
      <w:bookmarkEnd w:id="1"/>
      <w:bookmarkEnd w:id="2"/>
      <w:bookmarkEnd w:id="3"/>
      <w:proofErr w:type="spellStart"/>
      <w:r>
        <w:t>Непроведение</w:t>
      </w:r>
      <w:proofErr w:type="spellEnd"/>
      <w:r>
        <w:t xml:space="preserve"> ликвидации Участника </w:t>
      </w:r>
      <w:r>
        <w:rPr>
          <w:iCs/>
        </w:rPr>
        <w:t xml:space="preserve">аукциона в электронной форме </w:t>
      </w:r>
      <w:r>
        <w:t xml:space="preserve">- юридического лица и отсутствие решения арбитражного суда о признании Участника </w:t>
      </w:r>
      <w:r>
        <w:rPr>
          <w:iCs/>
        </w:rPr>
        <w:t xml:space="preserve">аукциона в электронной форме </w:t>
      </w:r>
      <w:r>
        <w:t>- юридического лица или индивидуального предпринимателя несостоятельным (банкротом) и об открытии конкурсного производства;</w:t>
      </w:r>
    </w:p>
    <w:p w:rsidR="00284378" w:rsidRDefault="00284378" w:rsidP="00284378">
      <w:pPr>
        <w:jc w:val="both"/>
      </w:pPr>
      <w:r>
        <w:t xml:space="preserve">2. </w:t>
      </w:r>
      <w:proofErr w:type="spellStart"/>
      <w:r>
        <w:t>Неприостановление</w:t>
      </w:r>
      <w:proofErr w:type="spellEnd"/>
      <w:r>
        <w:t xml:space="preserve"> деятельности Участника </w:t>
      </w:r>
      <w:r>
        <w:rPr>
          <w:iCs/>
        </w:rPr>
        <w:t xml:space="preserve">аукциона в электронной форме </w:t>
      </w:r>
      <w:r>
        <w:t xml:space="preserve">в порядке, установленном </w:t>
      </w:r>
      <w:hyperlink r:id="rId7" w:history="1">
        <w:r>
          <w:rPr>
            <w:rStyle w:val="a3"/>
            <w:color w:val="auto"/>
            <w:u w:val="none"/>
          </w:rPr>
          <w:t>Кодексом</w:t>
        </w:r>
      </w:hyperlink>
      <w:r>
        <w:t xml:space="preserve"> Российской Федерации об административных правонарушениях, на дату подачи заявки на участие в </w:t>
      </w:r>
      <w:r>
        <w:rPr>
          <w:iCs/>
        </w:rPr>
        <w:t>аукционе в электронной форме</w:t>
      </w:r>
      <w:r>
        <w:t>;</w:t>
      </w:r>
    </w:p>
    <w:p w:rsidR="00284378" w:rsidRDefault="00284378" w:rsidP="00284378">
      <w:pPr>
        <w:jc w:val="both"/>
      </w:pPr>
      <w:r>
        <w:t xml:space="preserve">3. </w:t>
      </w:r>
      <w:bookmarkStart w:id="4" w:name="Par5"/>
      <w:bookmarkEnd w:id="4"/>
      <w:r>
        <w:t xml:space="preserve">Отсутствие у Участника </w:t>
      </w:r>
      <w:r>
        <w:rPr>
          <w:iCs/>
        </w:rPr>
        <w:t xml:space="preserve">аукциона в электронной форме </w:t>
      </w:r>
      <w: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Pr>
            <w:rStyle w:val="a3"/>
            <w:color w:val="auto"/>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Pr>
            <w:rStyle w:val="a3"/>
            <w:color w:val="auto"/>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iCs/>
        </w:rPr>
        <w:t>аукциона в электронной форме</w:t>
      </w:r>
      <w:r>
        <w:t xml:space="preserve">, по данным бухгалтерской отчетности за последний отчетный период. Участник </w:t>
      </w:r>
      <w:r>
        <w:rPr>
          <w:iCs/>
        </w:rPr>
        <w:t xml:space="preserve">аукциона в электронной форме </w:t>
      </w:r>
      <w: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iCs/>
        </w:rPr>
        <w:t xml:space="preserve">аукционе в электронной форме </w:t>
      </w:r>
      <w:r>
        <w:t>не принято;</w:t>
      </w:r>
    </w:p>
    <w:p w:rsidR="00284378" w:rsidRDefault="00284378" w:rsidP="00284378">
      <w:pPr>
        <w:keepNext/>
        <w:keepLines/>
        <w:autoSpaceDE w:val="0"/>
        <w:autoSpaceDN w:val="0"/>
        <w:adjustRightInd w:val="0"/>
        <w:jc w:val="both"/>
      </w:pPr>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284378" w:rsidRDefault="00284378" w:rsidP="00284378">
      <w:pPr>
        <w:keepNext/>
        <w:keepLines/>
        <w:autoSpaceDE w:val="0"/>
        <w:autoSpaceDN w:val="0"/>
        <w:adjustRightInd w:val="0"/>
        <w:jc w:val="both"/>
      </w:pPr>
      <w: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84378" w:rsidRDefault="00284378" w:rsidP="00284378">
      <w:pPr>
        <w:autoSpaceDE w:val="0"/>
        <w:autoSpaceDN w:val="0"/>
        <w:adjustRightInd w:val="0"/>
        <w:jc w:val="both"/>
      </w:pPr>
      <w:r>
        <w:t xml:space="preserve">5. Обладание Участником </w:t>
      </w:r>
      <w:r>
        <w:rPr>
          <w:iCs/>
        </w:rPr>
        <w:t xml:space="preserve">аукциона в электронной форме </w:t>
      </w:r>
      <w:r>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b/>
        </w:rPr>
        <w:t>не предусмотрено</w:t>
      </w:r>
      <w:r>
        <w:t>;</w:t>
      </w:r>
    </w:p>
    <w:p w:rsidR="00284378" w:rsidRDefault="00284378" w:rsidP="00284378">
      <w:pPr>
        <w:jc w:val="both"/>
      </w:pPr>
      <w:bookmarkStart w:id="5" w:name="Par9"/>
      <w:bookmarkEnd w:id="5"/>
      <w:r>
        <w:t xml:space="preserve">6. Отсутствие между Участником </w:t>
      </w:r>
      <w:r>
        <w:rPr>
          <w:iCs/>
        </w:rPr>
        <w:t xml:space="preserve">аукциона в электронной форме </w:t>
      </w:r>
      <w:r>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lastRenderedPageBreak/>
        <w:t xml:space="preserve">предприятия либо иными органами управления юридических лиц - Участников </w:t>
      </w:r>
      <w:r>
        <w:rPr>
          <w:iCs/>
        </w:rPr>
        <w:t>аукциона в электронной форме</w:t>
      </w:r>
      <w:r>
        <w:t xml:space="preserve">, с физическими лицами, в том числе зарегистрированными в качестве индивидуального предпринимателя, - Участниками </w:t>
      </w:r>
      <w:r>
        <w:rPr>
          <w:iCs/>
        </w:rPr>
        <w:t xml:space="preserve">аукциона в электронной форме </w:t>
      </w:r>
      <w: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84378" w:rsidRDefault="00284378" w:rsidP="00284378">
      <w:pPr>
        <w:autoSpaceDE w:val="0"/>
        <w:autoSpaceDN w:val="0"/>
        <w:adjustRightInd w:val="0"/>
        <w:jc w:val="both"/>
      </w:pPr>
      <w:r>
        <w:t>7. Участник закупки не является офшорной компанией;</w:t>
      </w:r>
    </w:p>
    <w:p w:rsidR="00284378" w:rsidRDefault="00284378" w:rsidP="00284378">
      <w:pPr>
        <w:autoSpaceDE w:val="0"/>
        <w:autoSpaceDN w:val="0"/>
        <w:adjustRightInd w:val="0"/>
        <w:jc w:val="both"/>
      </w:pPr>
      <w:r>
        <w:t xml:space="preserve">8.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10" w:history="1">
        <w:r>
          <w:rPr>
            <w:rStyle w:val="a3"/>
            <w:color w:val="auto"/>
            <w:u w:val="none"/>
          </w:rPr>
          <w:t>реестре</w:t>
        </w:r>
      </w:hyperlink>
      <w:r>
        <w:t xml:space="preserve"> недобросовестных Поставщиков (Подрядчиков, Исполнителей) информации об Участнике аукциона в электронной форме</w:t>
      </w:r>
      <w:r>
        <w:rPr>
          <w:i/>
        </w:rPr>
        <w:t>,</w:t>
      </w:r>
      <w: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bookmarkStart w:id="6" w:name="Par26"/>
      <w:bookmarkEnd w:id="6"/>
      <w:r>
        <w:t>.</w:t>
      </w:r>
    </w:p>
    <w:p w:rsidR="0018666B" w:rsidRDefault="0018666B"/>
    <w:sectPr w:rsidR="001866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00A" w:rsidRDefault="0059100A" w:rsidP="00284378">
      <w:r>
        <w:separator/>
      </w:r>
    </w:p>
  </w:endnote>
  <w:endnote w:type="continuationSeparator" w:id="0">
    <w:p w:rsidR="0059100A" w:rsidRDefault="0059100A" w:rsidP="0028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00A" w:rsidRDefault="0059100A" w:rsidP="00284378">
      <w:r>
        <w:separator/>
      </w:r>
    </w:p>
  </w:footnote>
  <w:footnote w:type="continuationSeparator" w:id="0">
    <w:p w:rsidR="0059100A" w:rsidRDefault="0059100A" w:rsidP="00284378">
      <w:r>
        <w:continuationSeparator/>
      </w:r>
    </w:p>
  </w:footnote>
  <w:footnote w:id="1">
    <w:p w:rsidR="00284378" w:rsidRDefault="00284378" w:rsidP="00284378">
      <w:pPr>
        <w:autoSpaceDE w:val="0"/>
        <w:autoSpaceDN w:val="0"/>
        <w:adjustRightInd w:val="0"/>
        <w:ind w:firstLine="539"/>
        <w:jc w:val="both"/>
        <w:rPr>
          <w:sz w:val="20"/>
          <w:szCs w:val="20"/>
        </w:rPr>
      </w:pPr>
      <w:r>
        <w:rPr>
          <w:rStyle w:val="a4"/>
        </w:rPr>
        <w:footnoteRef/>
      </w:r>
      <w:r>
        <w:t xml:space="preserve"> </w:t>
      </w:r>
      <w:r>
        <w:rPr>
          <w:sz w:val="20"/>
          <w:szCs w:val="20"/>
        </w:rPr>
        <w:t>Показатели</w:t>
      </w:r>
      <w:r>
        <w:rPr>
          <w:b/>
          <w:sz w:val="20"/>
          <w:szCs w:val="20"/>
        </w:rPr>
        <w:t xml:space="preserve"> </w:t>
      </w:r>
      <w:r>
        <w:rPr>
          <w:sz w:val="20"/>
          <w:szCs w:val="20"/>
        </w:rPr>
        <w:t xml:space="preserve">характеристик указаны без учета допустимых отклонений, устанавливаемых производителем. </w:t>
      </w:r>
    </w:p>
    <w:p w:rsidR="00284378" w:rsidRDefault="00284378" w:rsidP="00284378">
      <w:pPr>
        <w:autoSpaceDE w:val="0"/>
        <w:autoSpaceDN w:val="0"/>
        <w:adjustRightInd w:val="0"/>
        <w:ind w:firstLine="53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78"/>
    <w:rsid w:val="0018666B"/>
    <w:rsid w:val="00284378"/>
    <w:rsid w:val="0059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4FCC5-3FCA-40DE-BB71-357380B7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37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84378"/>
    <w:pPr>
      <w:keepNext/>
      <w:shd w:val="clear" w:color="auto" w:fill="FFFFFF"/>
      <w:spacing w:line="254" w:lineRule="exact"/>
      <w:ind w:left="5755"/>
      <w:outlineLvl w:val="2"/>
    </w:pPr>
    <w:rPr>
      <w:b/>
      <w:bCs/>
      <w:color w:val="000000"/>
      <w:spacing w:val="2"/>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4378"/>
    <w:rPr>
      <w:color w:val="0000FF"/>
      <w:u w:val="single"/>
    </w:rPr>
  </w:style>
  <w:style w:type="paragraph" w:customStyle="1" w:styleId="Web">
    <w:name w:val="Обычный (Web)"/>
    <w:basedOn w:val="a"/>
    <w:rsid w:val="00284378"/>
    <w:pPr>
      <w:suppressAutoHyphens/>
      <w:spacing w:before="100" w:after="100"/>
    </w:pPr>
    <w:rPr>
      <w:szCs w:val="20"/>
      <w:lang w:eastAsia="ar-SA"/>
    </w:rPr>
  </w:style>
  <w:style w:type="character" w:styleId="a4">
    <w:name w:val="footnote reference"/>
    <w:semiHidden/>
    <w:unhideWhenUsed/>
    <w:rsid w:val="00284378"/>
    <w:rPr>
      <w:vertAlign w:val="superscript"/>
    </w:rPr>
  </w:style>
  <w:style w:type="character" w:customStyle="1" w:styleId="30">
    <w:name w:val="Заголовок 3 Знак"/>
    <w:basedOn w:val="a0"/>
    <w:link w:val="3"/>
    <w:semiHidden/>
    <w:rsid w:val="00284378"/>
    <w:rPr>
      <w:rFonts w:ascii="Times New Roman" w:eastAsia="Times New Roman" w:hAnsi="Times New Roman" w:cs="Times New Roman"/>
      <w:b/>
      <w:bCs/>
      <w:color w:val="000000"/>
      <w:spacing w:val="2"/>
      <w:sz w:val="25"/>
      <w:szCs w:val="25"/>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39997">
      <w:bodyDiv w:val="1"/>
      <w:marLeft w:val="0"/>
      <w:marRight w:val="0"/>
      <w:marTop w:val="0"/>
      <w:marBottom w:val="0"/>
      <w:divBdr>
        <w:top w:val="none" w:sz="0" w:space="0" w:color="auto"/>
        <w:left w:val="none" w:sz="0" w:space="0" w:color="auto"/>
        <w:bottom w:val="none" w:sz="0" w:space="0" w:color="auto"/>
        <w:right w:val="none" w:sz="0" w:space="0" w:color="auto"/>
      </w:divBdr>
    </w:div>
    <w:div w:id="1756517655">
      <w:bodyDiv w:val="1"/>
      <w:marLeft w:val="0"/>
      <w:marRight w:val="0"/>
      <w:marTop w:val="0"/>
      <w:marBottom w:val="0"/>
      <w:divBdr>
        <w:top w:val="none" w:sz="0" w:space="0" w:color="auto"/>
        <w:left w:val="none" w:sz="0" w:space="0" w:color="auto"/>
        <w:bottom w:val="none" w:sz="0" w:space="0" w:color="auto"/>
        <w:right w:val="none" w:sz="0" w:space="0" w:color="auto"/>
      </w:divBdr>
    </w:div>
    <w:div w:id="20198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C9CCE998881CFF2B53C4D33C7CD453328F0EE1485IDbCH" TargetMode="External"/><Relationship Id="rId3" Type="http://schemas.openxmlformats.org/officeDocument/2006/relationships/settings" Target="settings.xml"/><Relationship Id="rId7" Type="http://schemas.openxmlformats.org/officeDocument/2006/relationships/hyperlink" Target="consultantplus://offline/ref=5C4EC0BFE53A98844E116E816EADCDCE8B6D91CE988A81CFF2B53C4D33C7CD453328F0EA14I8b5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C4EC0BFE53A98844E116E816EADCDCE8B6D93C9938981CFF2B53C4D33C7CD453328F0EE1586DBC4I8bAH" TargetMode="External"/><Relationship Id="rId4" Type="http://schemas.openxmlformats.org/officeDocument/2006/relationships/webSettings" Target="webSettings.xml"/><Relationship Id="rId9" Type="http://schemas.openxmlformats.org/officeDocument/2006/relationships/hyperlink" Target="consultantplus://offline/ref=5C4EC0BFE53A98844E116E816EADCDCE8B6C9CCE998881CFF2B53C4D33C7CD453328F0EE1487ID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Елена Ишбульдина</cp:lastModifiedBy>
  <cp:revision>1</cp:revision>
  <dcterms:created xsi:type="dcterms:W3CDTF">2018-02-06T12:27:00Z</dcterms:created>
  <dcterms:modified xsi:type="dcterms:W3CDTF">2018-02-06T12:35:00Z</dcterms:modified>
</cp:coreProperties>
</file>