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992BAA" w:rsidRPr="00C54C85" w:rsidRDefault="00992BAA" w:rsidP="00992BAA">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9</w:t>
      </w:r>
      <w:r w:rsidRPr="00C54C85">
        <w:rPr>
          <w:rFonts w:ascii="Times New Roman" w:eastAsia="Calibri" w:hAnsi="Times New Roman" w:cs="Times New Roman"/>
          <w:i/>
          <w:iCs/>
          <w:lang w:eastAsia="ar-SA"/>
        </w:rPr>
        <w:tab/>
        <w:t>лицензия на осуществление медицинской деятельности:</w:t>
      </w:r>
    </w:p>
    <w:p w:rsidR="00992BAA" w:rsidRPr="00C54C85" w:rsidRDefault="00992BAA" w:rsidP="00992BAA">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591E15">
        <w:rPr>
          <w:rFonts w:ascii="Times New Roman" w:hAnsi="Times New Roman" w:cs="Times New Roman"/>
          <w:color w:val="000000"/>
          <w:shd w:val="clear" w:color="auto" w:fill="FFFFFF"/>
        </w:rPr>
        <w:t>дерматовенерологии</w:t>
      </w:r>
      <w:proofErr w:type="spellEnd"/>
      <w:r w:rsidRPr="00591E15">
        <w:rPr>
          <w:rFonts w:ascii="Times New Roman" w:hAnsi="Times New Roman" w:cs="Times New Roman"/>
          <w:color w:val="000000"/>
          <w:shd w:val="clear" w:color="auto" w:fill="FFFFFF"/>
        </w:rPr>
        <w:t xml:space="preserve">, неврологии, оториноларингологии, пульмонологии, травматологии и ортопедии, терапии, </w:t>
      </w:r>
      <w:proofErr w:type="spellStart"/>
      <w:r w:rsidRPr="00591E15">
        <w:rPr>
          <w:rFonts w:ascii="Times New Roman" w:hAnsi="Times New Roman" w:cs="Times New Roman"/>
          <w:color w:val="000000"/>
          <w:shd w:val="clear" w:color="auto" w:fill="FFFFFF"/>
        </w:rPr>
        <w:t>п</w:t>
      </w:r>
      <w:r>
        <w:rPr>
          <w:rFonts w:ascii="Times New Roman" w:hAnsi="Times New Roman" w:cs="Times New Roman"/>
          <w:color w:val="000000"/>
          <w:shd w:val="clear" w:color="auto" w:fill="FFFFFF"/>
        </w:rPr>
        <w:t>р</w:t>
      </w:r>
      <w:r w:rsidRPr="00591E15">
        <w:rPr>
          <w:rFonts w:ascii="Times New Roman" w:hAnsi="Times New Roman" w:cs="Times New Roman"/>
          <w:color w:val="000000"/>
          <w:shd w:val="clear" w:color="auto" w:fill="FFFFFF"/>
        </w:rPr>
        <w:t>офпатологии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5C22" w:rsidRDefault="00A85C22" w:rsidP="00A85C22">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A85C22" w:rsidRDefault="00A85C22" w:rsidP="00A85C22">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bookmarkStart w:id="0" w:name="_GoBack"/>
      <w:bookmarkEnd w:id="0"/>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282608"/>
    <w:rsid w:val="002C6E76"/>
    <w:rsid w:val="008926E1"/>
    <w:rsid w:val="00992BAA"/>
    <w:rsid w:val="009A4C8A"/>
    <w:rsid w:val="00A85C22"/>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2018-02-08T13:49:00Z</dcterms:created>
  <dcterms:modified xsi:type="dcterms:W3CDTF">2018-06-28T13:19:00Z</dcterms:modified>
</cp:coreProperties>
</file>