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E4" w:rsidRDefault="001328E4" w:rsidP="001328E4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1328E4" w:rsidRPr="005230BA" w:rsidRDefault="001328E4" w:rsidP="001328E4">
      <w:pPr>
        <w:widowControl/>
        <w:suppressAutoHyphens w:val="0"/>
        <w:autoSpaceDE w:val="0"/>
        <w:autoSpaceDN w:val="0"/>
        <w:adjustRightInd w:val="0"/>
        <w:ind w:firstLine="53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 w:rsidRPr="005230BA">
        <w:rPr>
          <w:rFonts w:eastAsia="Times New Roman" w:cs="Times New Roman"/>
          <w:color w:val="auto"/>
          <w:lang w:eastAsia="ru-RU" w:bidi="ar-SA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328E4" w:rsidRPr="00B84132" w:rsidRDefault="001328E4" w:rsidP="001328E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B84132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B84132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328E4" w:rsidRPr="00B84132" w:rsidRDefault="001328E4" w:rsidP="001328E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B84132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B84132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328E4" w:rsidRPr="00C94946" w:rsidRDefault="001328E4" w:rsidP="001328E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328E4" w:rsidRPr="00A60816" w:rsidRDefault="001328E4" w:rsidP="001328E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8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328E4" w:rsidRPr="00A60816" w:rsidRDefault="001328E4" w:rsidP="001328E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328E4" w:rsidRDefault="001328E4" w:rsidP="001328E4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328E4" w:rsidRDefault="001328E4" w:rsidP="001328E4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1328E4" w:rsidRDefault="001328E4" w:rsidP="001328E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328E4" w:rsidRPr="00C10385" w:rsidRDefault="001328E4" w:rsidP="001328E4">
      <w:pPr>
        <w:keepNext/>
        <w:keepLines/>
        <w:suppressLineNumbers/>
        <w:snapToGrid w:val="0"/>
        <w:jc w:val="both"/>
        <w:rPr>
          <w:rFonts w:eastAsia="Calibri"/>
          <w:color w:val="auto"/>
          <w:lang w:eastAsia="ru-RU"/>
        </w:rPr>
      </w:pPr>
      <w:r w:rsidRPr="00A24C37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о</w:t>
      </w:r>
      <w:r w:rsidRPr="00A24C37">
        <w:rPr>
          <w:rFonts w:eastAsia="Calibri"/>
          <w:lang w:eastAsia="ru-RU"/>
        </w:rPr>
        <w:t xml:space="preserve">тсутствии участника электронного аукциона в предусмотренном настоящим Федеральным законом </w:t>
      </w:r>
      <w:hyperlink r:id="rId12" w:history="1">
        <w:r w:rsidRPr="00A24C37">
          <w:rPr>
            <w:rStyle w:val="a3"/>
            <w:rFonts w:eastAsia="Calibri"/>
            <w:color w:val="000000"/>
            <w:u w:val="none"/>
            <w:lang w:eastAsia="ru-RU"/>
          </w:rPr>
          <w:t>реестре</w:t>
        </w:r>
      </w:hyperlink>
      <w:r w:rsidRPr="00A24C37">
        <w:rPr>
          <w:rFonts w:eastAsia="Calibri"/>
          <w:lang w:eastAsia="ru-RU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0F19F0">
        <w:rPr>
          <w:rFonts w:eastAsia="Calibri"/>
          <w:color w:val="auto"/>
          <w:lang w:eastAsia="ru-RU"/>
        </w:rPr>
        <w:t xml:space="preserve">исполнительного органа, лице, исполняющем функции единоличного </w:t>
      </w:r>
      <w:r w:rsidRPr="00C10385">
        <w:rPr>
          <w:rFonts w:eastAsia="Calibri"/>
          <w:color w:val="auto"/>
          <w:lang w:eastAsia="ru-RU"/>
        </w:rPr>
        <w:t>исполнительного органа участника закупки - юридического лица.</w:t>
      </w:r>
    </w:p>
    <w:p w:rsidR="001328E4" w:rsidRPr="00C10385" w:rsidRDefault="001328E4" w:rsidP="001328E4">
      <w:pPr>
        <w:suppressAutoHyphens w:val="0"/>
        <w:autoSpaceDE w:val="0"/>
        <w:autoSpaceDN w:val="0"/>
        <w:adjustRightInd w:val="0"/>
        <w:ind w:firstLine="539"/>
        <w:jc w:val="both"/>
        <w:rPr>
          <w:b/>
          <w:color w:val="auto"/>
          <w:lang w:eastAsia="ru-RU"/>
        </w:rPr>
      </w:pPr>
      <w:r w:rsidRPr="00C10385">
        <w:rPr>
          <w:b/>
          <w:color w:val="auto"/>
        </w:rPr>
        <w:t xml:space="preserve">В настоящем </w:t>
      </w:r>
      <w:proofErr w:type="gramStart"/>
      <w:r w:rsidRPr="00C10385">
        <w:rPr>
          <w:b/>
          <w:color w:val="auto"/>
        </w:rPr>
        <w:t>электронном  аукционе</w:t>
      </w:r>
      <w:proofErr w:type="gramEnd"/>
      <w:r w:rsidRPr="00C10385">
        <w:rPr>
          <w:b/>
          <w:color w:val="auto"/>
        </w:rPr>
        <w:t xml:space="preserve"> могут принять участие </w:t>
      </w:r>
      <w:r w:rsidRPr="00C10385">
        <w:rPr>
          <w:b/>
          <w:color w:val="auto"/>
          <w:lang w:eastAsia="ru-RU"/>
        </w:rPr>
        <w:t xml:space="preserve">только субъекты малого предпринимательства, социально ориентированные некоммерческие </w:t>
      </w:r>
      <w:r w:rsidRPr="00C10385">
        <w:rPr>
          <w:b/>
          <w:color w:val="auto"/>
          <w:lang w:eastAsia="ru-RU"/>
        </w:rPr>
        <w:lastRenderedPageBreak/>
        <w:t>организации.</w:t>
      </w:r>
    </w:p>
    <w:p w:rsidR="001328E4" w:rsidRPr="00C10385" w:rsidRDefault="001328E4" w:rsidP="001328E4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auto"/>
          <w:lang w:eastAsia="ru-RU"/>
        </w:rPr>
      </w:pPr>
      <w:r w:rsidRPr="00C10385">
        <w:rPr>
          <w:b/>
          <w:color w:val="auto"/>
          <w:lang w:eastAsia="ru-RU"/>
        </w:rPr>
        <w:t xml:space="preserve">Участники закупок обязаны </w:t>
      </w:r>
      <w:hyperlink r:id="rId13" w:history="1">
        <w:r w:rsidRPr="00C10385">
          <w:rPr>
            <w:b/>
            <w:color w:val="auto"/>
            <w:lang w:eastAsia="ru-RU"/>
          </w:rPr>
          <w:t>декларировать</w:t>
        </w:r>
      </w:hyperlink>
      <w:r w:rsidRPr="00C10385">
        <w:rPr>
          <w:b/>
          <w:color w:val="auto"/>
          <w:lang w:eastAsia="ru-RU"/>
        </w:rPr>
        <w:t xml:space="preserve">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организациям.</w:t>
      </w:r>
    </w:p>
    <w:p w:rsidR="001328E4" w:rsidRPr="00B3642F" w:rsidRDefault="001328E4" w:rsidP="001328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10385">
        <w:rPr>
          <w:color w:val="auto"/>
          <w:lang w:eastAsia="ru-RU"/>
        </w:rPr>
        <w:t>При этом к субъектам малого предпринимательства необходимо</w:t>
      </w:r>
      <w:r w:rsidRPr="00B3642F">
        <w:rPr>
          <w:lang w:eastAsia="ru-RU"/>
        </w:rPr>
        <w:t xml:space="preserve"> относить участников закупки, осуществляющих предпринимательскую деятельность и соответствующих ряду условий (</w:t>
      </w:r>
      <w:hyperlink r:id="rId14" w:history="1">
        <w:r w:rsidRPr="00B3642F">
          <w:rPr>
            <w:lang w:eastAsia="ru-RU"/>
          </w:rPr>
          <w:t>ст. 4</w:t>
        </w:r>
      </w:hyperlink>
      <w:r w:rsidRPr="00B3642F">
        <w:rPr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Федерации"):</w:t>
      </w:r>
    </w:p>
    <w:p w:rsidR="001328E4" w:rsidRPr="00B3642F" w:rsidRDefault="001328E4" w:rsidP="001328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3642F">
        <w:rPr>
          <w:lang w:eastAsia="ru-RU"/>
        </w:rPr>
        <w:t>1) суммарная доля участия РФ, субъектов РФ,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не должна превышать 25%,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</w:p>
    <w:p w:rsidR="001328E4" w:rsidRPr="00B3642F" w:rsidRDefault="001328E4" w:rsidP="001328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3642F">
        <w:rPr>
          <w:lang w:eastAsia="ru-RU"/>
        </w:rPr>
        <w:t>2) средняя численность работников за предшествующий календарный год не должна превышать 100 человек включительно;</w:t>
      </w:r>
    </w:p>
    <w:p w:rsidR="001328E4" w:rsidRPr="00B3642F" w:rsidRDefault="001328E4" w:rsidP="001328E4">
      <w:pPr>
        <w:autoSpaceDE w:val="0"/>
        <w:ind w:firstLine="540"/>
        <w:jc w:val="both"/>
        <w:rPr>
          <w:rFonts w:ascii="Arial" w:eastAsia="Arial" w:hAnsi="Arial" w:cs="Arial"/>
          <w:color w:val="auto"/>
          <w:lang w:eastAsia="ru-RU" w:bidi="ar-SA"/>
        </w:rPr>
      </w:pPr>
      <w:r w:rsidRPr="00B3642F">
        <w:rPr>
          <w:rFonts w:eastAsia="Arial" w:cs="Times New Roman"/>
          <w:color w:val="auto"/>
          <w:lang w:eastAsia="ru-RU" w:bidi="ar-SA"/>
        </w:rPr>
        <w:t xml:space="preserve">3) </w:t>
      </w:r>
      <w:r w:rsidRPr="00B3642F">
        <w:rPr>
          <w:rFonts w:eastAsia="Calibri" w:cs="Times New Roman"/>
          <w:color w:val="auto"/>
          <w:lang w:eastAsia="ru-RU" w:bidi="ar-SA"/>
        </w:rPr>
        <w:t xml:space="preserve">предельные значения дохода, полученного от осуществления предпринимательской деятельности за предшествующий календарный год </w:t>
      </w:r>
      <w:r w:rsidRPr="00B3642F">
        <w:rPr>
          <w:rFonts w:eastAsia="Arial" w:cs="Times New Roman"/>
          <w:color w:val="auto"/>
          <w:lang w:eastAsia="ru-RU" w:bidi="ar-SA"/>
        </w:rPr>
        <w:t>не должны превышать 800 млн. руб. (</w:t>
      </w:r>
      <w:hyperlink r:id="rId15" w:history="1">
        <w:r w:rsidRPr="00B3642F">
          <w:rPr>
            <w:rFonts w:eastAsia="Arial" w:cs="Times New Roman"/>
            <w:color w:val="auto"/>
            <w:lang w:eastAsia="ru-RU" w:bidi="ar-SA"/>
          </w:rPr>
          <w:t>Постановление</w:t>
        </w:r>
      </w:hyperlink>
      <w:r w:rsidRPr="00B3642F">
        <w:rPr>
          <w:rFonts w:eastAsia="Arial" w:cs="Times New Roman"/>
          <w:color w:val="auto"/>
          <w:lang w:eastAsia="ru-RU" w:bidi="ar-SA"/>
        </w:rPr>
        <w:t xml:space="preserve"> Правительства РФ от </w:t>
      </w:r>
      <w:r w:rsidRPr="00B3642F">
        <w:rPr>
          <w:rFonts w:eastAsia="Calibri" w:cs="Times New Roman"/>
          <w:color w:val="auto"/>
          <w:lang w:eastAsia="ru-RU" w:bidi="ar-SA"/>
        </w:rPr>
        <w:t xml:space="preserve">04 апреля 2016 г. N 265 </w:t>
      </w:r>
      <w:r w:rsidRPr="00B3642F">
        <w:rPr>
          <w:rFonts w:eastAsia="Arial" w:cs="Times New Roman"/>
          <w:color w:val="auto"/>
          <w:lang w:eastAsia="ru-RU" w:bidi="ar-SA"/>
        </w:rPr>
        <w:t>"О предельных значениях дохода, полученного от осуществления предпринимательской деятельности,  для каждой категории субъектов малого и среднего предпринимательства</w:t>
      </w:r>
      <w:r w:rsidRPr="00B3642F">
        <w:rPr>
          <w:rFonts w:ascii="Arial" w:eastAsia="Arial" w:hAnsi="Arial" w:cs="Arial"/>
          <w:color w:val="auto"/>
          <w:lang w:eastAsia="ru-RU" w:bidi="ar-SA"/>
        </w:rPr>
        <w:t>").</w:t>
      </w:r>
    </w:p>
    <w:p w:rsidR="001328E4" w:rsidRPr="00B3642F" w:rsidRDefault="001328E4" w:rsidP="001328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3642F">
        <w:rPr>
          <w:u w:val="single"/>
          <w:lang w:eastAsia="ru-RU"/>
        </w:rPr>
        <w:t>К социально ориентированным некоммерческим организациям в целях применения</w:t>
      </w:r>
      <w:r w:rsidRPr="00B3642F">
        <w:rPr>
          <w:lang w:eastAsia="ru-RU"/>
        </w:rPr>
        <w:t xml:space="preserve"> </w:t>
      </w:r>
      <w:hyperlink r:id="rId16" w:history="1">
        <w:r w:rsidRPr="00B3642F">
          <w:rPr>
            <w:lang w:eastAsia="ru-RU"/>
          </w:rPr>
          <w:t>ст. 30</w:t>
        </w:r>
      </w:hyperlink>
      <w:r w:rsidRPr="00B3642F">
        <w:rPr>
          <w:lang w:eastAsia="ru-RU"/>
        </w:rPr>
        <w:t xml:space="preserve"> Закона N 44-ФЗ необходимо относить организации, осуществляющие виды деятельности, предусмотренные </w:t>
      </w:r>
      <w:hyperlink r:id="rId17" w:history="1">
        <w:r w:rsidRPr="00B3642F">
          <w:rPr>
            <w:lang w:eastAsia="ru-RU"/>
          </w:rPr>
          <w:t>п. 1 ст. 31.1</w:t>
        </w:r>
      </w:hyperlink>
      <w:r w:rsidRPr="00B3642F">
        <w:rPr>
          <w:lang w:eastAsia="ru-RU"/>
        </w:rPr>
        <w:t xml:space="preserve"> Федерального закона от 12.01.1996 N 7-ФЗ "О некоммерческих организациях", а именно: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1) социальное обслуживание, социальная поддержка и защита граждан;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4) охрана окружающей среды и защита животных;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7) профилактика социально опасных форм поведения граждан;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8) благотворительная деятельность, а также деятельность в области содействия благотворительности и добровольчества</w:t>
      </w:r>
      <w:r>
        <w:rPr>
          <w:rFonts w:eastAsia="Calibri" w:cs="Times New Roman"/>
          <w:color w:val="auto"/>
          <w:lang w:eastAsia="ru-RU" w:bidi="ar-SA"/>
        </w:rPr>
        <w:t xml:space="preserve"> (</w:t>
      </w:r>
      <w:proofErr w:type="spellStart"/>
      <w:r>
        <w:rPr>
          <w:rFonts w:eastAsia="Calibri" w:cs="Times New Roman"/>
          <w:color w:val="auto"/>
          <w:lang w:eastAsia="ru-RU" w:bidi="ar-SA"/>
        </w:rPr>
        <w:t>волонтерства</w:t>
      </w:r>
      <w:proofErr w:type="spellEnd"/>
      <w:r>
        <w:rPr>
          <w:rFonts w:eastAsia="Calibri" w:cs="Times New Roman"/>
          <w:color w:val="auto"/>
          <w:lang w:eastAsia="ru-RU" w:bidi="ar-SA"/>
        </w:rPr>
        <w:t>)</w:t>
      </w:r>
      <w:r w:rsidRPr="00B3642F">
        <w:rPr>
          <w:rFonts w:eastAsia="Calibri" w:cs="Times New Roman"/>
          <w:color w:val="auto"/>
          <w:lang w:eastAsia="ru-RU" w:bidi="ar-SA"/>
        </w:rPr>
        <w:t>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10) формирование в обществе нетерпимости к коррупционному поведению;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lastRenderedPageBreak/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14) участие в профилактике и (или) тушении пожаров и проведении аварийно-спасательных работ;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15) социальная и культурная адаптация и интеграция мигрантов;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B3642F">
        <w:rPr>
          <w:rFonts w:eastAsia="Calibri" w:cs="Times New Roman"/>
          <w:color w:val="auto"/>
          <w:lang w:eastAsia="ru-RU" w:bidi="ar-SA"/>
        </w:rPr>
        <w:t>реинтеграции</w:t>
      </w:r>
      <w:proofErr w:type="spellEnd"/>
      <w:r w:rsidRPr="00B3642F">
        <w:rPr>
          <w:rFonts w:eastAsia="Calibri" w:cs="Times New Roman"/>
          <w:color w:val="auto"/>
          <w:lang w:eastAsia="ru-RU" w:bidi="ar-SA"/>
        </w:rPr>
        <w:t xml:space="preserve"> лиц, осуществляющих незаконное потребление наркотических средств или психотропных веществ;</w:t>
      </w:r>
    </w:p>
    <w:p w:rsidR="001328E4" w:rsidRPr="00B3642F" w:rsidRDefault="001328E4" w:rsidP="001328E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lang w:eastAsia="ru-RU" w:bidi="ar-SA"/>
        </w:rPr>
      </w:pPr>
      <w:r w:rsidRPr="00B3642F">
        <w:rPr>
          <w:rFonts w:eastAsia="Calibri" w:cs="Times New Roman"/>
          <w:color w:val="auto"/>
          <w:lang w:eastAsia="ru-RU" w:bidi="ar-SA"/>
        </w:rPr>
        <w:t>17) содействие повышению мобильности трудовых ресурсов;</w:t>
      </w:r>
    </w:p>
    <w:p w:rsidR="00C456BB" w:rsidRPr="001328E4" w:rsidRDefault="001328E4" w:rsidP="001328E4">
      <w:r>
        <w:rPr>
          <w:rFonts w:eastAsia="Calibri" w:cs="Times New Roman"/>
          <w:color w:val="auto"/>
          <w:lang w:eastAsia="ru-RU" w:bidi="ar-SA"/>
        </w:rPr>
        <w:t xml:space="preserve"> </w:t>
      </w:r>
      <w:r w:rsidRPr="00B3642F">
        <w:rPr>
          <w:rFonts w:eastAsia="Calibri" w:cs="Times New Roman"/>
          <w:color w:val="auto"/>
          <w:lang w:eastAsia="ru-RU" w:bidi="ar-SA"/>
        </w:rPr>
        <w:t>18) увековечение памяти жертв политических репрессий.</w:t>
      </w:r>
      <w:bookmarkStart w:id="0" w:name="_GoBack"/>
      <w:bookmarkEnd w:id="0"/>
    </w:p>
    <w:sectPr w:rsidR="00C456BB" w:rsidRPr="001328E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328E4"/>
    <w:rsid w:val="00922BE4"/>
    <w:rsid w:val="00C4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B48F7-69E3-4054-8E23-FFE7A7B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hyperlink" Target="consultantplus://offline/ref=A31EA711C8D9E9830F515FB0632F3B0EF576B79A88B511AB42DF320B20ECEE9A9085D82EF46EDDD1CAHB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3B533F8C38F7A26A189BB6DEB642D76223E8B62FB7A7BB6E722302B2D7372DE0AC255967F07E1792V9VDF" TargetMode="External"/><Relationship Id="rId17" Type="http://schemas.openxmlformats.org/officeDocument/2006/relationships/hyperlink" Target="consultantplus://offline/ref=29263E2BB38114F810767E3E53D9E4C54CE0F90648FA098E01110F406F28E8EEFEECE4CAE5EEI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263E2BB38114F810767E3E53D9E4C54CE0F7054DFE098E01110F406F28E8EEFEECE4CAE6E3DF60E7I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5" Type="http://schemas.openxmlformats.org/officeDocument/2006/relationships/hyperlink" Target="consultantplus://offline/ref=29263E2BB38114F810767E3E53D9E4C54CE1F10C49FA098E01110F406F28E8EEFEECE4CAE6E3DC62E7IAH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hyperlink" Target="consultantplus://offline/ref=29263E2BB38114F810767E3E53D9E4C54CE0F60C4CFD098E01110F406F28E8EEFEECE4CAE6E3DC63E7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Karpova</cp:lastModifiedBy>
  <cp:revision>3</cp:revision>
  <dcterms:created xsi:type="dcterms:W3CDTF">2018-05-24T09:19:00Z</dcterms:created>
  <dcterms:modified xsi:type="dcterms:W3CDTF">2018-07-30T14:53:00Z</dcterms:modified>
</cp:coreProperties>
</file>