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DC" w:rsidRDefault="00A359DC" w:rsidP="00A359DC">
      <w:pPr>
        <w:pStyle w:val="7"/>
        <w:widowControl/>
        <w:numPr>
          <w:ilvl w:val="0"/>
          <w:numId w:val="0"/>
        </w:numPr>
        <w:shd w:val="clear" w:color="auto" w:fill="auto"/>
        <w:tabs>
          <w:tab w:val="left" w:pos="708"/>
        </w:tabs>
        <w:suppressAutoHyphens w:val="0"/>
        <w:snapToGrid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Требования к участникам размещения заказа:</w:t>
      </w:r>
    </w:p>
    <w:p w:rsidR="00A359DC" w:rsidRDefault="00A359DC" w:rsidP="00A359DC">
      <w:pPr>
        <w:keepNext/>
        <w:widowControl/>
        <w:autoSpaceDE w:val="0"/>
        <w:spacing w:line="240" w:lineRule="auto"/>
        <w:ind w:left="0" w:firstLine="0"/>
        <w:jc w:val="both"/>
        <w:rPr>
          <w:rStyle w:val="blk"/>
          <w:rFonts w:eastAsia="Arial Unicode MS"/>
          <w:color w:val="000000"/>
        </w:rPr>
      </w:pPr>
      <w:r>
        <w:t xml:space="preserve">1) соответствие требованиям, устанавливаемым в соответствии с законодательством Российской Федерации к лицам, осуществляющим оказание услуг, являющиеся предметом конкурса, и установленным в Информационной карте конкурса: </w:t>
      </w:r>
      <w:r>
        <w:rPr>
          <w:rStyle w:val="blk"/>
          <w:rFonts w:eastAsia="Arial Unicode MS"/>
          <w:color w:val="000000"/>
        </w:rPr>
        <w:t xml:space="preserve"> </w:t>
      </w:r>
    </w:p>
    <w:p w:rsidR="00A359DC" w:rsidRDefault="00A359DC" w:rsidP="00A359DC">
      <w:pPr>
        <w:autoSpaceDE w:val="0"/>
        <w:spacing w:line="240" w:lineRule="auto"/>
        <w:ind w:left="0" w:firstLine="0"/>
        <w:jc w:val="both"/>
      </w:pPr>
      <w:r>
        <w:rPr>
          <w:rStyle w:val="blk"/>
          <w:rFonts w:eastAsia="Arial Unicode MS"/>
          <w:color w:val="000000"/>
        </w:rPr>
        <w:t xml:space="preserve">- наличие </w:t>
      </w:r>
      <w:r>
        <w:t xml:space="preserve">действующей лицензии на право осуществления медицинской деятельности при оказании санаторно-курортной помощи:– пульмонология, </w:t>
      </w:r>
      <w:proofErr w:type="spellStart"/>
      <w:r>
        <w:t>дерматовенерология</w:t>
      </w:r>
      <w:proofErr w:type="spellEnd"/>
      <w:r>
        <w:t xml:space="preserve">, неврология,  травматология и ортопедия, </w:t>
      </w:r>
      <w:proofErr w:type="spellStart"/>
      <w:r>
        <w:t>профпатология</w:t>
      </w:r>
      <w:proofErr w:type="spellEnd"/>
      <w:r>
        <w:t>.</w:t>
      </w:r>
    </w:p>
    <w:p w:rsidR="00A359DC" w:rsidRDefault="00A359DC" w:rsidP="00A359DC">
      <w:pPr>
        <w:keepNext/>
        <w:widowControl/>
        <w:autoSpaceDE w:val="0"/>
        <w:spacing w:line="240" w:lineRule="auto"/>
        <w:ind w:left="0" w:firstLine="0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359DC" w:rsidRDefault="00A359DC" w:rsidP="00A359DC">
      <w:pPr>
        <w:keepNext/>
        <w:widowControl/>
        <w:autoSpaceDE w:val="0"/>
        <w:spacing w:line="240" w:lineRule="auto"/>
        <w:ind w:left="0" w:firstLine="0"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359DC" w:rsidRDefault="00A359DC" w:rsidP="00A359DC">
      <w:pPr>
        <w:keepNext/>
        <w:widowControl/>
        <w:suppressAutoHyphens w:val="0"/>
        <w:autoSpaceDE w:val="0"/>
        <w:snapToGrid w:val="0"/>
        <w:spacing w:line="240" w:lineRule="auto"/>
        <w:ind w:left="0" w:firstLine="0"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 исполнителя не принято;</w:t>
      </w:r>
    </w:p>
    <w:p w:rsidR="00A359DC" w:rsidRDefault="00A359DC" w:rsidP="00A359DC">
      <w:pPr>
        <w:keepNext/>
        <w:widowControl/>
        <w:suppressAutoHyphens w:val="0"/>
        <w:autoSpaceDN w:val="0"/>
        <w:adjustRightInd w:val="0"/>
        <w:spacing w:line="240" w:lineRule="auto"/>
        <w:ind w:left="0" w:firstLine="2"/>
        <w:jc w:val="both"/>
        <w:rPr>
          <w:lang w:eastAsia="ru-RU"/>
        </w:rPr>
      </w:pPr>
      <w:proofErr w:type="gramStart"/>
      <w:r>
        <w:t xml:space="preserve">5) </w:t>
      </w:r>
      <w:r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lang w:eastAsia="ru-RU"/>
          </w:rPr>
          <w:t>статьями 289</w:t>
        </w:r>
      </w:hyperlink>
      <w:r>
        <w:rPr>
          <w:lang w:eastAsia="ru-RU"/>
        </w:rPr>
        <w:t xml:space="preserve">, </w:t>
      </w:r>
      <w:hyperlink r:id="rId6" w:history="1">
        <w:r>
          <w:rPr>
            <w:rStyle w:val="a3"/>
            <w:lang w:eastAsia="ru-RU"/>
          </w:rPr>
          <w:t>290</w:t>
        </w:r>
      </w:hyperlink>
      <w:r>
        <w:rPr>
          <w:lang w:eastAsia="ru-RU"/>
        </w:rPr>
        <w:t xml:space="preserve">, </w:t>
      </w:r>
      <w:hyperlink r:id="rId7" w:history="1">
        <w:r>
          <w:rPr>
            <w:rStyle w:val="a3"/>
            <w:lang w:eastAsia="ru-RU"/>
          </w:rPr>
          <w:t>291</w:t>
        </w:r>
      </w:hyperlink>
      <w:r>
        <w:rPr>
          <w:lang w:eastAsia="ru-RU"/>
        </w:rPr>
        <w:t xml:space="preserve">, </w:t>
      </w:r>
      <w:hyperlink r:id="rId8" w:history="1">
        <w:r>
          <w:rPr>
            <w:rStyle w:val="a3"/>
            <w:lang w:eastAsia="ru-RU"/>
          </w:rPr>
          <w:t>291.1</w:t>
        </w:r>
      </w:hyperlink>
      <w:r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359DC" w:rsidRDefault="00A359DC" w:rsidP="00A359DC">
      <w:pPr>
        <w:keepNext/>
        <w:widowControl/>
        <w:suppressAutoHyphens w:val="0"/>
        <w:autoSpaceDN w:val="0"/>
        <w:adjustRightInd w:val="0"/>
        <w:spacing w:line="240" w:lineRule="auto"/>
        <w:ind w:left="0" w:firstLine="2"/>
        <w:jc w:val="both"/>
        <w:rPr>
          <w:lang w:eastAsia="ru-RU"/>
        </w:rPr>
      </w:pPr>
      <w:r>
        <w:rPr>
          <w:lang w:eastAsia="ru-RU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lang w:eastAsia="ru-RU"/>
          </w:rPr>
          <w:t>статьей 19.28</w:t>
        </w:r>
      </w:hyperlink>
      <w:r>
        <w:rPr>
          <w:lang w:eastAsia="ru-RU"/>
        </w:rPr>
        <w:t xml:space="preserve"> Кодекса Российской Федерации об административных правонарушениях;</w:t>
      </w:r>
    </w:p>
    <w:p w:rsidR="00A359DC" w:rsidRDefault="00A359DC" w:rsidP="00A359DC">
      <w:pPr>
        <w:keepNext/>
        <w:widowControl/>
        <w:suppressAutoHyphens w:val="0"/>
        <w:autoSpaceDE w:val="0"/>
        <w:snapToGrid w:val="0"/>
        <w:spacing w:line="240" w:lineRule="auto"/>
        <w:ind w:left="0" w:firstLine="2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>
        <w:t>выгодоприобретателями</w:t>
      </w:r>
      <w:proofErr w:type="spellEnd"/>
      <w: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</w:t>
      </w:r>
      <w:proofErr w:type="spellStart"/>
      <w:r>
        <w:t>выгодоприобретателями</w:t>
      </w:r>
      <w:proofErr w:type="spellEnd"/>
      <w:r>
        <w:t xml:space="preserve">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</w:t>
      </w:r>
      <w:r>
        <w:lastRenderedPageBreak/>
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359DC" w:rsidRDefault="00A359DC" w:rsidP="00A359DC">
      <w:pPr>
        <w:keepNext/>
        <w:widowControl/>
        <w:suppressAutoHyphens w:val="0"/>
        <w:autoSpaceDE w:val="0"/>
        <w:snapToGrid w:val="0"/>
        <w:spacing w:line="240" w:lineRule="auto"/>
        <w:ind w:left="0" w:firstLine="0"/>
        <w:jc w:val="both"/>
      </w:pPr>
      <w:r>
        <w:rPr>
          <w:rStyle w:val="blk"/>
        </w:rPr>
        <w:t xml:space="preserve">8) </w:t>
      </w:r>
      <w:r>
        <w:t xml:space="preserve">участник закупки не является </w:t>
      </w:r>
      <w:proofErr w:type="spellStart"/>
      <w:r>
        <w:t>офшорной</w:t>
      </w:r>
      <w:proofErr w:type="spellEnd"/>
      <w:r>
        <w:t xml:space="preserve"> компанией;</w:t>
      </w:r>
    </w:p>
    <w:p w:rsidR="00814A79" w:rsidRDefault="00A359DC" w:rsidP="00C246C3">
      <w:pPr>
        <w:ind w:left="0" w:firstLine="0"/>
      </w:pPr>
      <w:r>
        <w:t xml:space="preserve">9) </w:t>
      </w:r>
      <w:r>
        <w:rPr>
          <w:rStyle w:val="blk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814A79" w:rsidSect="0081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3CB9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502"/>
        </w:tabs>
        <w:ind w:left="502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8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9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9DC"/>
    <w:rsid w:val="00814A79"/>
    <w:rsid w:val="00A359DC"/>
    <w:rsid w:val="00C2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DC"/>
    <w:pPr>
      <w:widowControl w:val="0"/>
      <w:suppressAutoHyphens/>
      <w:spacing w:after="0" w:line="300" w:lineRule="auto"/>
      <w:ind w:left="480" w:hanging="480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A359DC"/>
    <w:pPr>
      <w:keepNext/>
      <w:widowControl/>
      <w:numPr>
        <w:numId w:val="1"/>
      </w:numPr>
      <w:overflowPunct w:val="0"/>
      <w:autoSpaceDE w:val="0"/>
      <w:spacing w:before="120" w:after="120" w:line="360" w:lineRule="auto"/>
      <w:ind w:left="0" w:firstLine="0"/>
      <w:outlineLvl w:val="0"/>
    </w:pPr>
    <w:rPr>
      <w:b/>
      <w:bCs/>
      <w:kern w:val="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A359DC"/>
    <w:pPr>
      <w:keepNext/>
      <w:numPr>
        <w:ilvl w:val="1"/>
        <w:numId w:val="1"/>
      </w:numPr>
      <w:shd w:val="clear" w:color="auto" w:fill="FFFFFF"/>
      <w:spacing w:line="240" w:lineRule="auto"/>
      <w:ind w:left="0" w:firstLine="0"/>
      <w:jc w:val="both"/>
      <w:outlineLvl w:val="1"/>
    </w:pPr>
    <w:rPr>
      <w:b/>
      <w:bCs/>
      <w:color w:val="000000"/>
      <w:spacing w:val="-2"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A359DC"/>
    <w:pPr>
      <w:keepNext/>
      <w:widowControl/>
      <w:numPr>
        <w:ilvl w:val="2"/>
        <w:numId w:val="1"/>
      </w:numPr>
      <w:shd w:val="clear" w:color="auto" w:fill="FFFFFF"/>
      <w:spacing w:line="254" w:lineRule="exact"/>
      <w:ind w:left="5755" w:firstLine="0"/>
      <w:outlineLvl w:val="2"/>
    </w:pPr>
    <w:rPr>
      <w:b/>
      <w:bCs/>
      <w:color w:val="000000"/>
      <w:spacing w:val="2"/>
      <w:sz w:val="25"/>
      <w:szCs w:val="25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A359DC"/>
    <w:pPr>
      <w:keepNext/>
      <w:widowControl/>
      <w:numPr>
        <w:ilvl w:val="3"/>
        <w:numId w:val="1"/>
      </w:numPr>
      <w:overflowPunct w:val="0"/>
      <w:autoSpaceDE w:val="0"/>
      <w:spacing w:before="240" w:after="120" w:line="240" w:lineRule="auto"/>
      <w:ind w:left="0"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359DC"/>
    <w:pPr>
      <w:keepNext/>
      <w:widowControl/>
      <w:numPr>
        <w:ilvl w:val="4"/>
        <w:numId w:val="1"/>
      </w:numPr>
      <w:spacing w:line="240" w:lineRule="auto"/>
      <w:ind w:left="709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359DC"/>
    <w:pPr>
      <w:keepNext/>
      <w:widowControl/>
      <w:numPr>
        <w:ilvl w:val="5"/>
        <w:numId w:val="1"/>
      </w:numPr>
      <w:overflowPunct w:val="0"/>
      <w:autoSpaceDE w:val="0"/>
      <w:spacing w:line="240" w:lineRule="auto"/>
      <w:ind w:left="0" w:firstLine="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A359DC"/>
    <w:pPr>
      <w:keepNext/>
      <w:numPr>
        <w:ilvl w:val="6"/>
        <w:numId w:val="1"/>
      </w:numPr>
      <w:shd w:val="clear" w:color="auto" w:fill="FFFFFF"/>
      <w:spacing w:line="240" w:lineRule="auto"/>
      <w:ind w:left="0" w:firstLine="0"/>
      <w:jc w:val="both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semiHidden/>
    <w:unhideWhenUsed/>
    <w:qFormat/>
    <w:rsid w:val="00A359DC"/>
    <w:pPr>
      <w:keepNext/>
      <w:widowControl/>
      <w:numPr>
        <w:ilvl w:val="7"/>
        <w:numId w:val="1"/>
      </w:numPr>
      <w:overflowPunct w:val="0"/>
      <w:autoSpaceDE w:val="0"/>
      <w:spacing w:line="240" w:lineRule="auto"/>
      <w:ind w:left="0" w:firstLine="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359DC"/>
    <w:pPr>
      <w:keepNext/>
      <w:numPr>
        <w:ilvl w:val="8"/>
        <w:numId w:val="1"/>
      </w:numPr>
      <w:shd w:val="clear" w:color="auto" w:fill="FFFFFF"/>
      <w:spacing w:line="240" w:lineRule="auto"/>
      <w:ind w:left="0" w:firstLine="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9DC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A359DC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semiHidden/>
    <w:rsid w:val="00A359DC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semiHidden/>
    <w:rsid w:val="00A359D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A359D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semiHidden/>
    <w:rsid w:val="00A35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semiHidden/>
    <w:rsid w:val="00A359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zh-CN"/>
    </w:rPr>
  </w:style>
  <w:style w:type="character" w:customStyle="1" w:styleId="80">
    <w:name w:val="Заголовок 8 Знак"/>
    <w:basedOn w:val="a0"/>
    <w:link w:val="8"/>
    <w:semiHidden/>
    <w:rsid w:val="00A359D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A359DC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styleId="a3">
    <w:name w:val="Hyperlink"/>
    <w:semiHidden/>
    <w:unhideWhenUsed/>
    <w:rsid w:val="00A359DC"/>
    <w:rPr>
      <w:color w:val="0000FF"/>
      <w:u w:val="single"/>
    </w:rPr>
  </w:style>
  <w:style w:type="character" w:customStyle="1" w:styleId="blk">
    <w:name w:val="blk"/>
    <w:rsid w:val="00A3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F0029EFCD563DBFA19AC3EB7F1A14047D032F54FBBF33FC1452B3A2C3F2CB7916F594052E30v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8F0029EFCD563DBFA19AC3EB7F1A14047D032F54FBBF33FC1452B3A2C3F2CB7916F594052130v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8F0029EFCD563DBFA19AC3EB7F1A14047D032F54FBBF33FC1452B3A2C3F2CB7916F594052330v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8F0029EFCD563DBFA19AC3EB7F1A14047D032F54FBBF33FC1452B3A2C3F2CB7916F59705270FB737v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8F0029EFCD563DBFA19AC3EB7F1A14047D0C235EF5BF33FC1452B3A2C3F2CB7916F594032430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</dc:creator>
  <cp:lastModifiedBy>Старовойтова </cp:lastModifiedBy>
  <cp:revision>1</cp:revision>
  <dcterms:created xsi:type="dcterms:W3CDTF">2018-08-08T08:49:00Z</dcterms:created>
  <dcterms:modified xsi:type="dcterms:W3CDTF">2018-08-08T09:30:00Z</dcterms:modified>
</cp:coreProperties>
</file>