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3" w:rsidRPr="005B1563" w:rsidRDefault="005B1563" w:rsidP="005B1563">
      <w:pPr>
        <w:tabs>
          <w:tab w:val="left" w:pos="629"/>
        </w:tabs>
        <w:suppressAutoHyphens w:val="0"/>
        <w:spacing w:line="250" w:lineRule="exact"/>
        <w:jc w:val="center"/>
        <w:rPr>
          <w:rFonts w:eastAsia="Times New Roman"/>
          <w:b/>
          <w:color w:val="000000"/>
          <w:kern w:val="0"/>
          <w:sz w:val="22"/>
          <w:szCs w:val="22"/>
          <w:lang w:eastAsia="ru-RU" w:bidi="ru-RU"/>
        </w:rPr>
      </w:pPr>
      <w:r w:rsidRPr="005B1563">
        <w:rPr>
          <w:rFonts w:eastAsia="Times New Roman"/>
          <w:b/>
          <w:color w:val="000000"/>
          <w:kern w:val="0"/>
          <w:sz w:val="22"/>
          <w:szCs w:val="22"/>
          <w:lang w:eastAsia="ru-RU" w:bidi="ru-RU"/>
        </w:rPr>
        <w:t>К участникам закупки устанавливаются следующие единые требования:</w:t>
      </w:r>
    </w:p>
    <w:p w:rsidR="005B1563" w:rsidRPr="00CD76DF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1)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</w:r>
      <w:r w:rsidRPr="00CD76DF">
        <w:rPr>
          <w:rFonts w:eastAsia="Times New Roman"/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являющимся объектом закупки.</w:t>
      </w:r>
      <w:r w:rsidRPr="00CD76DF">
        <w:rPr>
          <w:rFonts w:eastAsia="Times New Roman"/>
          <w:kern w:val="0"/>
          <w:sz w:val="22"/>
          <w:szCs w:val="22"/>
        </w:rPr>
        <w:t xml:space="preserve"> </w:t>
      </w:r>
      <w:proofErr w:type="gramStart"/>
      <w:r w:rsidRPr="00CD76DF">
        <w:rPr>
          <w:rFonts w:eastAsia="Times New Roman"/>
          <w:sz w:val="22"/>
          <w:szCs w:val="22"/>
        </w:rPr>
        <w:t>Наличие лицензии на медицинскую деятельность при оказании специализированной медико-санитарной помощи в амб</w:t>
      </w:r>
      <w:bookmarkStart w:id="0" w:name="_GoBack"/>
      <w:bookmarkEnd w:id="0"/>
      <w:r w:rsidRPr="00CD76DF">
        <w:rPr>
          <w:rFonts w:eastAsia="Times New Roman"/>
          <w:sz w:val="22"/>
          <w:szCs w:val="22"/>
        </w:rPr>
        <w:t xml:space="preserve">улаторных условиях, включающей работы (услуги) по </w:t>
      </w:r>
      <w:proofErr w:type="spellStart"/>
      <w:r w:rsidRPr="00CD76DF">
        <w:rPr>
          <w:rFonts w:eastAsia="Times New Roman"/>
          <w:sz w:val="22"/>
          <w:szCs w:val="22"/>
        </w:rPr>
        <w:t>сурдологии</w:t>
      </w:r>
      <w:proofErr w:type="spellEnd"/>
      <w:r w:rsidRPr="00CD76DF">
        <w:rPr>
          <w:rFonts w:eastAsia="Times New Roman"/>
          <w:sz w:val="22"/>
          <w:szCs w:val="22"/>
        </w:rPr>
        <w:t xml:space="preserve">-оториноларингологии  или осуществление участником закупки деятельности по </w:t>
      </w:r>
      <w:proofErr w:type="spellStart"/>
      <w:r w:rsidRPr="00CD76DF">
        <w:rPr>
          <w:rFonts w:eastAsia="Times New Roman"/>
          <w:sz w:val="22"/>
          <w:szCs w:val="22"/>
        </w:rPr>
        <w:t>слухопротезированию</w:t>
      </w:r>
      <w:proofErr w:type="spellEnd"/>
      <w:r w:rsidRPr="00CD76DF">
        <w:rPr>
          <w:rFonts w:eastAsia="Times New Roman"/>
          <w:sz w:val="22"/>
          <w:szCs w:val="22"/>
        </w:rPr>
        <w:t xml:space="preserve"> в соответствии с профессиональным стандартом «Специалист в области </w:t>
      </w:r>
      <w:proofErr w:type="spellStart"/>
      <w:r w:rsidRPr="00CD76DF">
        <w:rPr>
          <w:rFonts w:eastAsia="Times New Roman"/>
          <w:sz w:val="22"/>
          <w:szCs w:val="22"/>
        </w:rPr>
        <w:t>слухопротезирования</w:t>
      </w:r>
      <w:proofErr w:type="spellEnd"/>
      <w:r w:rsidRPr="00CD76DF">
        <w:rPr>
          <w:rFonts w:eastAsia="Times New Roman"/>
          <w:sz w:val="22"/>
          <w:szCs w:val="22"/>
        </w:rPr>
        <w:t xml:space="preserve"> (</w:t>
      </w:r>
      <w:proofErr w:type="spellStart"/>
      <w:r w:rsidRPr="00CD76DF">
        <w:rPr>
          <w:rFonts w:eastAsia="Times New Roman"/>
          <w:sz w:val="22"/>
          <w:szCs w:val="22"/>
        </w:rPr>
        <w:t>сурдоакустик</w:t>
      </w:r>
      <w:proofErr w:type="spellEnd"/>
      <w:r w:rsidRPr="00CD76DF">
        <w:rPr>
          <w:rFonts w:eastAsia="Times New Roman"/>
          <w:sz w:val="22"/>
          <w:szCs w:val="22"/>
        </w:rPr>
        <w:t>), а в случае, если  участником закупки привлекается Соисполнитель, в соответствии с условиями заключенного Государственного контракта, представляются аналогичные документы на указанные виды деятельности, выданные Соисполнителю.</w:t>
      </w:r>
      <w:proofErr w:type="gramEnd"/>
      <w:r w:rsidRPr="00CD76DF">
        <w:rPr>
          <w:rFonts w:eastAsia="Times New Roman"/>
          <w:sz w:val="22"/>
          <w:szCs w:val="22"/>
        </w:rPr>
        <w:t xml:space="preserve"> Федеральный закон от 04.05.2011 № 99-ФЗ, Приказ Министерства здравоохранения и социального развития от 09.04.2015 № 178н, ФЗ № 323 от 21.11.2011 «Об основах охраны здоровья граждан в РФ», Приказ Министерства здравоохранения и социального развития РФ №1664 н от 27.12.2011 года;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2)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</w:r>
      <w:proofErr w:type="spell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непроведение</w:t>
      </w:r>
      <w:proofErr w:type="spell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3)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</w:r>
      <w:proofErr w:type="spell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неприостановление</w:t>
      </w:r>
      <w:proofErr w:type="spell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4)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обязанности </w:t>
      </w: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заявителя</w:t>
      </w:r>
      <w:proofErr w:type="gram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указанных</w:t>
      </w:r>
      <w:proofErr w:type="gram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5)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</w:t>
      </w: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6)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7)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ab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</w:t>
      </w:r>
      <w:proofErr w:type="gram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неполнородными</w:t>
      </w:r>
      <w:proofErr w:type="spell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1563" w:rsidRPr="002E69FC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 w:bidi="ru-RU"/>
        </w:rPr>
        <w:t>8)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участник закупки не является офшорной компанией;</w:t>
      </w:r>
    </w:p>
    <w:p w:rsidR="005B1563" w:rsidRDefault="005B1563" w:rsidP="005B1563">
      <w:pPr>
        <w:tabs>
          <w:tab w:val="left" w:pos="629"/>
        </w:tabs>
        <w:suppressAutoHyphens w:val="0"/>
        <w:spacing w:line="250" w:lineRule="exact"/>
        <w:jc w:val="both"/>
        <w:rPr>
          <w:rFonts w:eastAsia="Times New Roman"/>
          <w:color w:val="000000"/>
          <w:kern w:val="0"/>
          <w:sz w:val="22"/>
          <w:szCs w:val="22"/>
          <w:lang w:eastAsia="ru-RU" w:bidi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 w:bidi="ru-RU"/>
        </w:rPr>
        <w:t>9)</w:t>
      </w:r>
      <w:r w:rsidRPr="002E69FC">
        <w:rPr>
          <w:rFonts w:eastAsia="Times New Roman"/>
          <w:color w:val="000000"/>
          <w:kern w:val="0"/>
          <w:sz w:val="22"/>
          <w:szCs w:val="22"/>
          <w:lang w:eastAsia="ru-RU" w:bidi="ru-RU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B1563" w:rsidRDefault="005B1563" w:rsidP="005B1563">
      <w:pPr>
        <w:autoSpaceDE w:val="0"/>
        <w:jc w:val="both"/>
        <w:rPr>
          <w:sz w:val="20"/>
          <w:szCs w:val="20"/>
        </w:rPr>
      </w:pPr>
      <w:r>
        <w:rPr>
          <w:rFonts w:eastAsia="Times New Roman"/>
          <w:color w:val="000000"/>
          <w:kern w:val="0"/>
          <w:sz w:val="22"/>
          <w:szCs w:val="22"/>
          <w:lang w:eastAsia="ru-RU" w:bidi="ru-RU"/>
        </w:rPr>
        <w:t>10)</w:t>
      </w:r>
      <w:r w:rsidRPr="009828BB">
        <w:rPr>
          <w:sz w:val="26"/>
          <w:szCs w:val="26"/>
        </w:rPr>
        <w:t xml:space="preserve"> </w:t>
      </w:r>
      <w:r w:rsidRPr="00B26B9F">
        <w:rPr>
          <w:sz w:val="20"/>
          <w:szCs w:val="20"/>
        </w:rPr>
        <w:t>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966E60" w:rsidRDefault="00966E60"/>
    <w:sectPr w:rsidR="0096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C5"/>
    <w:rsid w:val="005B1563"/>
    <w:rsid w:val="009557C5"/>
    <w:rsid w:val="009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Company>FSS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2018-09-06T09:19:00Z</dcterms:created>
  <dcterms:modified xsi:type="dcterms:W3CDTF">2018-09-06T09:20:00Z</dcterms:modified>
</cp:coreProperties>
</file>