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993"/>
        <w:gridCol w:w="8645"/>
      </w:tblGrid>
      <w:tr w:rsidR="00E307C6" w:rsidRPr="005679C4" w:rsidTr="00622358">
        <w:trPr>
          <w:trHeight w:val="671"/>
        </w:trPr>
        <w:tc>
          <w:tcPr>
            <w:tcW w:w="515" w:type="pct"/>
            <w:tcBorders>
              <w:top w:val="single" w:sz="4" w:space="0" w:color="000000"/>
              <w:left w:val="single" w:sz="4" w:space="0" w:color="000000"/>
              <w:bottom w:val="single" w:sz="4" w:space="0" w:color="000000"/>
            </w:tcBorders>
            <w:shd w:val="clear" w:color="auto" w:fill="auto"/>
          </w:tcPr>
          <w:p w:rsidR="00E307C6" w:rsidRPr="005679C4" w:rsidRDefault="00951AFC" w:rsidP="00D73D68">
            <w:pPr>
              <w:pStyle w:val="a3"/>
              <w:snapToGrid w:val="0"/>
              <w:jc w:val="center"/>
              <w:rPr>
                <w:sz w:val="24"/>
                <w:szCs w:val="24"/>
              </w:rPr>
            </w:pPr>
            <w:r>
              <w:rPr>
                <w:sz w:val="24"/>
                <w:szCs w:val="24"/>
              </w:rPr>
              <w:t>1</w:t>
            </w:r>
          </w:p>
        </w:tc>
        <w:tc>
          <w:tcPr>
            <w:tcW w:w="4485" w:type="pct"/>
            <w:tcBorders>
              <w:top w:val="single" w:sz="4" w:space="0" w:color="000000"/>
              <w:left w:val="single" w:sz="4" w:space="0" w:color="000000"/>
              <w:bottom w:val="single" w:sz="4" w:space="0" w:color="000000"/>
              <w:right w:val="single" w:sz="4" w:space="0" w:color="000000"/>
            </w:tcBorders>
            <w:shd w:val="clear" w:color="auto" w:fill="auto"/>
          </w:tcPr>
          <w:p w:rsidR="003F4BAF" w:rsidRPr="005679C4" w:rsidRDefault="00E307C6" w:rsidP="00AF08A1">
            <w:pPr>
              <w:suppressAutoHyphens w:val="0"/>
              <w:autoSpaceDE w:val="0"/>
              <w:autoSpaceDN w:val="0"/>
              <w:adjustRightInd w:val="0"/>
              <w:jc w:val="both"/>
            </w:pPr>
            <w:r w:rsidRPr="005679C4">
              <w:rPr>
                <w:b/>
              </w:rPr>
              <w:t>Огр</w:t>
            </w:r>
            <w:r>
              <w:rPr>
                <w:b/>
              </w:rPr>
              <w:t>аничения участия в определении П</w:t>
            </w:r>
            <w:r w:rsidRPr="005679C4">
              <w:rPr>
                <w:b/>
              </w:rPr>
              <w:t xml:space="preserve">оставщика: </w:t>
            </w:r>
            <w:r w:rsidR="00AF08A1">
              <w:rPr>
                <w:rFonts w:ascii="LiberationSerif" w:eastAsiaTheme="minorHAnsi" w:hAnsi="LiberationSerif" w:cs="LiberationSerif"/>
                <w:lang w:eastAsia="en-US"/>
              </w:rPr>
              <w:t xml:space="preserve">Установлено ограничение </w:t>
            </w:r>
            <w:r w:rsidR="00385BFE" w:rsidRPr="00385BFE">
              <w:rPr>
                <w:rFonts w:ascii="LiberationSerif" w:eastAsiaTheme="minorHAnsi" w:hAnsi="LiberationSerif" w:cs="LiberationSerif"/>
                <w:lang w:eastAsia="en-US"/>
              </w:rPr>
              <w:t>субъекты малого предпринимательства, социально ориентированные некоммерческие организации.</w:t>
            </w:r>
          </w:p>
        </w:tc>
      </w:tr>
      <w:tr w:rsidR="00DE4083" w:rsidRPr="005679C4" w:rsidTr="00622358">
        <w:trPr>
          <w:trHeight w:val="671"/>
        </w:trPr>
        <w:tc>
          <w:tcPr>
            <w:tcW w:w="515" w:type="pct"/>
            <w:tcBorders>
              <w:top w:val="single" w:sz="4" w:space="0" w:color="000000"/>
              <w:left w:val="single" w:sz="4" w:space="0" w:color="000000"/>
              <w:bottom w:val="single" w:sz="4" w:space="0" w:color="000000"/>
            </w:tcBorders>
            <w:shd w:val="clear" w:color="auto" w:fill="auto"/>
          </w:tcPr>
          <w:p w:rsidR="00DE4083" w:rsidRDefault="00DE4083" w:rsidP="00D73D68">
            <w:pPr>
              <w:pStyle w:val="a3"/>
              <w:snapToGrid w:val="0"/>
              <w:jc w:val="center"/>
              <w:rPr>
                <w:sz w:val="24"/>
                <w:szCs w:val="24"/>
              </w:rPr>
            </w:pPr>
            <w:r>
              <w:rPr>
                <w:sz w:val="24"/>
                <w:szCs w:val="24"/>
              </w:rPr>
              <w:t>2</w:t>
            </w:r>
          </w:p>
        </w:tc>
        <w:tc>
          <w:tcPr>
            <w:tcW w:w="4485" w:type="pct"/>
            <w:tcBorders>
              <w:top w:val="single" w:sz="4" w:space="0" w:color="000000"/>
              <w:left w:val="single" w:sz="4" w:space="0" w:color="000000"/>
              <w:bottom w:val="single" w:sz="4" w:space="0" w:color="000000"/>
              <w:right w:val="single" w:sz="4" w:space="0" w:color="000000"/>
            </w:tcBorders>
            <w:shd w:val="clear" w:color="auto" w:fill="auto"/>
          </w:tcPr>
          <w:p w:rsidR="00DE4083" w:rsidRPr="00B648B7" w:rsidRDefault="00DE4083" w:rsidP="00DE4083">
            <w:pPr>
              <w:widowControl w:val="0"/>
              <w:shd w:val="clear" w:color="auto" w:fill="FFFFFF"/>
              <w:tabs>
                <w:tab w:val="left" w:pos="0"/>
              </w:tabs>
              <w:autoSpaceDE w:val="0"/>
              <w:jc w:val="both"/>
              <w:rPr>
                <w:b/>
              </w:rPr>
            </w:pPr>
            <w:r w:rsidRPr="00B648B7">
              <w:rPr>
                <w:b/>
              </w:rPr>
              <w:t xml:space="preserve">Единые обязательные требования к участникам электронного аукциона: </w:t>
            </w:r>
          </w:p>
          <w:p w:rsidR="00114519" w:rsidRDefault="00114519" w:rsidP="00114519">
            <w:pPr>
              <w:widowControl w:val="0"/>
              <w:shd w:val="clear" w:color="auto" w:fill="FFFFFF"/>
              <w:tabs>
                <w:tab w:val="left" w:pos="0"/>
              </w:tabs>
              <w:autoSpaceDE w:val="0"/>
              <w:jc w:val="both"/>
            </w:pPr>
            <w:r>
              <w:t>К участникам закупки устанавливаются следующие единые требования:</w:t>
            </w:r>
          </w:p>
          <w:p w:rsidR="00114519" w:rsidRDefault="00114519" w:rsidP="00114519">
            <w:pPr>
              <w:widowControl w:val="0"/>
              <w:shd w:val="clear" w:color="auto" w:fill="FFFFFF"/>
              <w:tabs>
                <w:tab w:val="left" w:pos="0"/>
              </w:tabs>
              <w:autoSpaceDE w:val="0"/>
              <w:jc w:val="both"/>
            </w:pPr>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114519" w:rsidRDefault="00114519" w:rsidP="00114519">
            <w:pPr>
              <w:widowControl w:val="0"/>
              <w:shd w:val="clear" w:color="auto" w:fill="FFFFFF"/>
              <w:tabs>
                <w:tab w:val="left" w:pos="0"/>
              </w:tabs>
              <w:autoSpaceDE w:val="0"/>
              <w:jc w:val="both"/>
            </w:pPr>
            <w: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14519" w:rsidRDefault="00114519" w:rsidP="00114519">
            <w:pPr>
              <w:widowControl w:val="0"/>
              <w:shd w:val="clear" w:color="auto" w:fill="FFFFFF"/>
              <w:tabs>
                <w:tab w:val="left" w:pos="0"/>
              </w:tabs>
              <w:autoSpaceDE w:val="0"/>
              <w:jc w:val="both"/>
            </w:pPr>
            <w: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14519" w:rsidRDefault="00114519" w:rsidP="00114519">
            <w:pPr>
              <w:widowControl w:val="0"/>
              <w:shd w:val="clear" w:color="auto" w:fill="FFFFFF"/>
              <w:tabs>
                <w:tab w:val="left" w:pos="0"/>
              </w:tabs>
              <w:autoSpaceDE w:val="0"/>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14519" w:rsidRDefault="00114519" w:rsidP="00114519">
            <w:pPr>
              <w:widowControl w:val="0"/>
              <w:shd w:val="clear" w:color="auto" w:fill="FFFFFF"/>
              <w:tabs>
                <w:tab w:val="left" w:pos="0"/>
              </w:tabs>
              <w:autoSpaceDE w:val="0"/>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14519" w:rsidRDefault="00114519" w:rsidP="00114519">
            <w:pPr>
              <w:widowControl w:val="0"/>
              <w:shd w:val="clear" w:color="auto" w:fill="FFFFFF"/>
              <w:tabs>
                <w:tab w:val="left" w:pos="0"/>
              </w:tabs>
              <w:autoSpaceDE w:val="0"/>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14519" w:rsidRDefault="00114519" w:rsidP="00114519">
            <w:pPr>
              <w:widowControl w:val="0"/>
              <w:shd w:val="clear" w:color="auto" w:fill="FFFFFF"/>
              <w:tabs>
                <w:tab w:val="left" w:pos="0"/>
              </w:tabs>
              <w:autoSpaceDE w:val="0"/>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14519" w:rsidRDefault="00114519" w:rsidP="00114519">
            <w:pPr>
              <w:widowControl w:val="0"/>
              <w:shd w:val="clear" w:color="auto" w:fill="FFFFFF"/>
              <w:tabs>
                <w:tab w:val="left" w:pos="0"/>
              </w:tabs>
              <w:autoSpaceDE w:val="0"/>
              <w:jc w:val="both"/>
            </w:pPr>
            <w: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14519" w:rsidRDefault="00114519" w:rsidP="00114519">
            <w:pPr>
              <w:widowControl w:val="0"/>
              <w:shd w:val="clear" w:color="auto" w:fill="FFFFFF"/>
              <w:tabs>
                <w:tab w:val="left" w:pos="0"/>
              </w:tabs>
              <w:autoSpaceDE w:val="0"/>
              <w:jc w:val="both"/>
            </w:pPr>
            <w:r>
              <w:t>8) участник закупки не является офшорной компанией;</w:t>
            </w:r>
          </w:p>
          <w:p w:rsidR="00114519" w:rsidRDefault="00114519" w:rsidP="00114519">
            <w:pPr>
              <w:widowControl w:val="0"/>
              <w:shd w:val="clear" w:color="auto" w:fill="FFFFFF"/>
              <w:tabs>
                <w:tab w:val="left" w:pos="0"/>
              </w:tabs>
              <w:autoSpaceDE w:val="0"/>
              <w:jc w:val="both"/>
            </w:pPr>
            <w:r>
              <w:t xml:space="preserve">    9) отсутствие у участника закупки ограничений для участия в закупках, установленных законодательством Российской Федерации.</w:t>
            </w:r>
          </w:p>
          <w:p w:rsidR="00DE4083" w:rsidRPr="005679C4" w:rsidRDefault="00114519" w:rsidP="00114519">
            <w:pPr>
              <w:autoSpaceDE w:val="0"/>
              <w:autoSpaceDN w:val="0"/>
              <w:adjustRightInd w:val="0"/>
              <w:contextualSpacing/>
              <w:jc w:val="both"/>
              <w:rPr>
                <w:b/>
              </w:rPr>
            </w:pPr>
            <w:r>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DF0412" w:rsidRDefault="00DF0412" w:rsidP="00D73D68">
      <w:bookmarkStart w:id="0" w:name="_GoBack"/>
      <w:bookmarkEnd w:id="0"/>
    </w:p>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088" w:rsidRDefault="00E20088" w:rsidP="00D73D68">
      <w:r>
        <w:separator/>
      </w:r>
    </w:p>
  </w:endnote>
  <w:endnote w:type="continuationSeparator" w:id="0">
    <w:p w:rsidR="00E20088" w:rsidRDefault="00E20088"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CC"/>
    <w:family w:val="auto"/>
    <w:notTrueType/>
    <w:pitch w:val="default"/>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088" w:rsidRDefault="00E20088" w:rsidP="00D73D68">
      <w:r>
        <w:separator/>
      </w:r>
    </w:p>
  </w:footnote>
  <w:footnote w:type="continuationSeparator" w:id="0">
    <w:p w:rsidR="00E20088" w:rsidRDefault="00E20088"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114519"/>
    <w:rsid w:val="002163DF"/>
    <w:rsid w:val="00385BFE"/>
    <w:rsid w:val="003F4BAF"/>
    <w:rsid w:val="00482256"/>
    <w:rsid w:val="00490374"/>
    <w:rsid w:val="00563E4E"/>
    <w:rsid w:val="00622358"/>
    <w:rsid w:val="006D1E1E"/>
    <w:rsid w:val="00782A59"/>
    <w:rsid w:val="00951AFC"/>
    <w:rsid w:val="009B36B9"/>
    <w:rsid w:val="009E333D"/>
    <w:rsid w:val="009E7F70"/>
    <w:rsid w:val="009F0A71"/>
    <w:rsid w:val="00AC2A8E"/>
    <w:rsid w:val="00AC3D90"/>
    <w:rsid w:val="00AD5A82"/>
    <w:rsid w:val="00AF08A1"/>
    <w:rsid w:val="00CE166D"/>
    <w:rsid w:val="00D73D68"/>
    <w:rsid w:val="00DE4083"/>
    <w:rsid w:val="00DF0412"/>
    <w:rsid w:val="00E20088"/>
    <w:rsid w:val="00E307C6"/>
    <w:rsid w:val="00F70D2B"/>
    <w:rsid w:val="00FC614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 w:type="paragraph" w:customStyle="1" w:styleId="1">
    <w:name w:val="1"/>
    <w:basedOn w:val="a"/>
    <w:rsid w:val="00DE4083"/>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39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824</Words>
  <Characters>4700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Rushak</cp:lastModifiedBy>
  <cp:revision>6</cp:revision>
  <cp:lastPrinted>2018-01-31T06:06:00Z</cp:lastPrinted>
  <dcterms:created xsi:type="dcterms:W3CDTF">2018-06-14T09:45:00Z</dcterms:created>
  <dcterms:modified xsi:type="dcterms:W3CDTF">2018-06-28T05:54:00Z</dcterms:modified>
</cp:coreProperties>
</file>