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C4" w:rsidRPr="00DD2E98" w:rsidRDefault="008B78C4" w:rsidP="008B78C4">
      <w:pPr>
        <w:suppressAutoHyphens w:val="0"/>
        <w:autoSpaceDE w:val="0"/>
        <w:autoSpaceDN w:val="0"/>
        <w:adjustRightInd w:val="0"/>
        <w:ind w:firstLine="540"/>
        <w:jc w:val="both"/>
        <w:rPr>
          <w:b/>
          <w:sz w:val="24"/>
          <w:szCs w:val="24"/>
          <w:lang w:eastAsia="ru-RU"/>
        </w:rPr>
      </w:pPr>
      <w:r w:rsidRPr="00DD2E98">
        <w:rPr>
          <w:b/>
          <w:bCs/>
          <w:sz w:val="24"/>
          <w:szCs w:val="24"/>
          <w:lang w:eastAsia="ru-RU"/>
        </w:rPr>
        <w:t>. Т</w:t>
      </w:r>
      <w:r w:rsidRPr="00DD2E98">
        <w:rPr>
          <w:b/>
          <w:sz w:val="24"/>
          <w:szCs w:val="24"/>
          <w:lang w:eastAsia="ru-RU"/>
        </w:rPr>
        <w:t xml:space="preserve">ребования к участникам аукциона, установленные в соответствии с частью 1, частями 1.1 и 2 (при наличии таких требований) статьи 31 </w:t>
      </w:r>
      <w:r w:rsidRPr="00DD2E98">
        <w:rPr>
          <w:b/>
          <w:sz w:val="24"/>
          <w:szCs w:val="24"/>
        </w:rPr>
        <w:t>Закона о контрактной системе</w:t>
      </w:r>
      <w:r w:rsidRPr="00DD2E98">
        <w:rPr>
          <w:b/>
          <w:bCs/>
          <w:sz w:val="24"/>
          <w:szCs w:val="24"/>
          <w:lang w:eastAsia="ru-RU"/>
        </w:rPr>
        <w:t>:</w:t>
      </w:r>
    </w:p>
    <w:p w:rsidR="008B78C4" w:rsidRPr="00DD2E98" w:rsidRDefault="008B78C4" w:rsidP="008B78C4">
      <w:pPr>
        <w:jc w:val="both"/>
        <w:rPr>
          <w:sz w:val="24"/>
          <w:szCs w:val="24"/>
          <w:lang w:eastAsia="ru-RU"/>
        </w:rPr>
      </w:pPr>
      <w:r w:rsidRPr="00DD2E98">
        <w:rPr>
          <w:sz w:val="24"/>
          <w:szCs w:val="24"/>
          <w:lang w:eastAsia="ru-RU"/>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предусмотрено.</w:t>
      </w:r>
    </w:p>
    <w:p w:rsidR="008B78C4" w:rsidRPr="00DD2E98" w:rsidRDefault="008B78C4" w:rsidP="008B78C4">
      <w:pPr>
        <w:suppressAutoHyphens w:val="0"/>
        <w:autoSpaceDE w:val="0"/>
        <w:autoSpaceDN w:val="0"/>
        <w:adjustRightInd w:val="0"/>
        <w:ind w:firstLine="540"/>
        <w:jc w:val="both"/>
        <w:rPr>
          <w:bCs/>
          <w:sz w:val="24"/>
          <w:szCs w:val="24"/>
          <w:lang w:eastAsia="ru-RU"/>
        </w:rPr>
      </w:pPr>
      <w:r w:rsidRPr="00DD2E98">
        <w:rPr>
          <w:sz w:val="24"/>
          <w:szCs w:val="24"/>
          <w:lang w:eastAsia="ru-RU"/>
        </w:rPr>
        <w:t>2) декларация о соответствии участника электронного аукциона требованиям:</w:t>
      </w:r>
    </w:p>
    <w:p w:rsidR="008B78C4" w:rsidRPr="00DD2E98" w:rsidRDefault="008B78C4" w:rsidP="008B78C4">
      <w:pPr>
        <w:suppressAutoHyphens w:val="0"/>
        <w:autoSpaceDE w:val="0"/>
        <w:autoSpaceDN w:val="0"/>
        <w:adjustRightInd w:val="0"/>
        <w:ind w:firstLine="540"/>
        <w:jc w:val="both"/>
        <w:rPr>
          <w:bCs/>
          <w:sz w:val="24"/>
          <w:szCs w:val="24"/>
          <w:lang w:eastAsia="ru-RU"/>
        </w:rPr>
      </w:pPr>
      <w:r w:rsidRPr="00DD2E98">
        <w:rPr>
          <w:bCs/>
          <w:sz w:val="24"/>
          <w:szCs w:val="24"/>
          <w:lang w:eastAsia="ru-RU"/>
        </w:rPr>
        <w:t xml:space="preserve">- </w:t>
      </w:r>
      <w:proofErr w:type="spellStart"/>
      <w:r w:rsidRPr="00DD2E98">
        <w:rPr>
          <w:bCs/>
          <w:sz w:val="24"/>
          <w:szCs w:val="24"/>
          <w:lang w:eastAsia="ru-RU"/>
        </w:rPr>
        <w:t>непроведение</w:t>
      </w:r>
      <w:proofErr w:type="spellEnd"/>
      <w:r w:rsidRPr="00DD2E98">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78C4" w:rsidRPr="00DD2E98" w:rsidRDefault="008B78C4" w:rsidP="008B78C4">
      <w:pPr>
        <w:suppressAutoHyphens w:val="0"/>
        <w:autoSpaceDE w:val="0"/>
        <w:autoSpaceDN w:val="0"/>
        <w:adjustRightInd w:val="0"/>
        <w:ind w:firstLine="540"/>
        <w:jc w:val="both"/>
        <w:rPr>
          <w:bCs/>
          <w:sz w:val="24"/>
          <w:szCs w:val="24"/>
          <w:lang w:eastAsia="ru-RU"/>
        </w:rPr>
      </w:pPr>
      <w:r w:rsidRPr="00DD2E98">
        <w:rPr>
          <w:bCs/>
          <w:sz w:val="24"/>
          <w:szCs w:val="24"/>
          <w:lang w:eastAsia="ru-RU"/>
        </w:rPr>
        <w:t>-</w:t>
      </w:r>
      <w:proofErr w:type="spellStart"/>
      <w:r w:rsidRPr="00DD2E98">
        <w:rPr>
          <w:bCs/>
          <w:sz w:val="24"/>
          <w:szCs w:val="24"/>
          <w:lang w:eastAsia="ru-RU"/>
        </w:rPr>
        <w:t>неприостановление</w:t>
      </w:r>
      <w:proofErr w:type="spellEnd"/>
      <w:r w:rsidRPr="00DD2E98">
        <w:rPr>
          <w:bCs/>
          <w:sz w:val="24"/>
          <w:szCs w:val="24"/>
          <w:lang w:eastAsia="ru-RU"/>
        </w:rPr>
        <w:t xml:space="preserve"> деятельности участника закупки в порядке, установленном </w:t>
      </w:r>
      <w:hyperlink r:id="rId4" w:history="1">
        <w:r w:rsidRPr="00DD2E98">
          <w:rPr>
            <w:bCs/>
            <w:sz w:val="24"/>
            <w:szCs w:val="24"/>
            <w:lang w:eastAsia="ru-RU"/>
          </w:rPr>
          <w:t>Кодексом</w:t>
        </w:r>
      </w:hyperlink>
      <w:r w:rsidRPr="00DD2E98">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8B78C4" w:rsidRPr="00DD2E98" w:rsidRDefault="008B78C4" w:rsidP="008B78C4">
      <w:pPr>
        <w:suppressAutoHyphens w:val="0"/>
        <w:autoSpaceDE w:val="0"/>
        <w:autoSpaceDN w:val="0"/>
        <w:adjustRightInd w:val="0"/>
        <w:ind w:firstLine="540"/>
        <w:jc w:val="both"/>
        <w:rPr>
          <w:bCs/>
          <w:sz w:val="24"/>
          <w:szCs w:val="24"/>
          <w:lang w:eastAsia="ru-RU"/>
        </w:rPr>
      </w:pPr>
      <w:r w:rsidRPr="00DD2E98">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D2E98">
          <w:rPr>
            <w:bCs/>
            <w:sz w:val="24"/>
            <w:szCs w:val="24"/>
            <w:lang w:eastAsia="ru-RU"/>
          </w:rPr>
          <w:t>законодательством</w:t>
        </w:r>
      </w:hyperlink>
      <w:r w:rsidRPr="00DD2E98">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D2E98">
          <w:rPr>
            <w:bCs/>
            <w:sz w:val="24"/>
            <w:szCs w:val="24"/>
            <w:lang w:eastAsia="ru-RU"/>
          </w:rPr>
          <w:t>законодательством</w:t>
        </w:r>
      </w:hyperlink>
      <w:r w:rsidRPr="00DD2E98">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78C4" w:rsidRPr="00DD2E98" w:rsidRDefault="008B78C4" w:rsidP="008B78C4">
      <w:pPr>
        <w:pStyle w:val="a4"/>
        <w:widowControl w:val="0"/>
        <w:spacing w:before="0" w:beforeAutospacing="0" w:after="0"/>
        <w:ind w:firstLine="540"/>
        <w:jc w:val="both"/>
      </w:pPr>
      <w:r w:rsidRPr="00DD2E98">
        <w:t xml:space="preserve">- </w:t>
      </w:r>
      <w:r w:rsidRPr="00DD2E98">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DD2E98">
        <w:rPr>
          <w:rStyle w:val="apple-converted-space"/>
          <w:shd w:val="clear" w:color="auto" w:fill="FFFFFF"/>
        </w:rPr>
        <w:t> </w:t>
      </w:r>
      <w:hyperlink r:id="rId7" w:anchor="dst101897" w:history="1">
        <w:r w:rsidRPr="00DD2E98">
          <w:rPr>
            <w:rStyle w:val="a3"/>
            <w:shd w:val="clear" w:color="auto" w:fill="FFFFFF"/>
          </w:rPr>
          <w:t>статьями 289</w:t>
        </w:r>
      </w:hyperlink>
      <w:r w:rsidRPr="00DD2E98">
        <w:rPr>
          <w:shd w:val="clear" w:color="auto" w:fill="FFFFFF"/>
        </w:rPr>
        <w:t>,</w:t>
      </w:r>
      <w:r w:rsidRPr="00DD2E98">
        <w:rPr>
          <w:rStyle w:val="apple-converted-space"/>
          <w:shd w:val="clear" w:color="auto" w:fill="FFFFFF"/>
        </w:rPr>
        <w:t> </w:t>
      </w:r>
      <w:hyperlink r:id="rId8" w:anchor="dst2054" w:history="1">
        <w:r w:rsidRPr="00DD2E98">
          <w:rPr>
            <w:rStyle w:val="a3"/>
            <w:shd w:val="clear" w:color="auto" w:fill="FFFFFF"/>
          </w:rPr>
          <w:t>290</w:t>
        </w:r>
      </w:hyperlink>
      <w:r w:rsidRPr="00DD2E98">
        <w:rPr>
          <w:shd w:val="clear" w:color="auto" w:fill="FFFFFF"/>
        </w:rPr>
        <w:t>,</w:t>
      </w:r>
      <w:r w:rsidRPr="00DD2E98">
        <w:rPr>
          <w:rStyle w:val="apple-converted-space"/>
          <w:shd w:val="clear" w:color="auto" w:fill="FFFFFF"/>
        </w:rPr>
        <w:t> </w:t>
      </w:r>
      <w:hyperlink r:id="rId9" w:anchor="dst2072" w:history="1">
        <w:r w:rsidRPr="00DD2E98">
          <w:rPr>
            <w:rStyle w:val="a3"/>
            <w:shd w:val="clear" w:color="auto" w:fill="FFFFFF"/>
          </w:rPr>
          <w:t>291</w:t>
        </w:r>
      </w:hyperlink>
      <w:r w:rsidRPr="00DD2E98">
        <w:rPr>
          <w:shd w:val="clear" w:color="auto" w:fill="FFFFFF"/>
        </w:rPr>
        <w:t>,</w:t>
      </w:r>
      <w:r w:rsidRPr="00DD2E98">
        <w:rPr>
          <w:rStyle w:val="apple-converted-space"/>
          <w:shd w:val="clear" w:color="auto" w:fill="FFFFFF"/>
        </w:rPr>
        <w:t> </w:t>
      </w:r>
      <w:hyperlink r:id="rId10" w:anchor="dst2086" w:history="1">
        <w:r w:rsidRPr="00DD2E98">
          <w:rPr>
            <w:rStyle w:val="a3"/>
            <w:shd w:val="clear" w:color="auto" w:fill="FFFFFF"/>
          </w:rPr>
          <w:t>291.1</w:t>
        </w:r>
      </w:hyperlink>
      <w:r w:rsidRPr="00DD2E98">
        <w:rPr>
          <w:rStyle w:val="apple-converted-space"/>
          <w:shd w:val="clear" w:color="auto" w:fill="FFFFFF"/>
        </w:rPr>
        <w:t> </w:t>
      </w:r>
      <w:r w:rsidRPr="00DD2E98">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DD2E98">
        <w:t>;</w:t>
      </w:r>
    </w:p>
    <w:p w:rsidR="008B78C4" w:rsidRPr="00DD2E98" w:rsidRDefault="008B78C4" w:rsidP="008B78C4">
      <w:pPr>
        <w:pStyle w:val="4"/>
        <w:snapToGrid/>
        <w:spacing w:line="240" w:lineRule="auto"/>
        <w:ind w:firstLine="540"/>
        <w:jc w:val="both"/>
        <w:rPr>
          <w:sz w:val="24"/>
          <w:szCs w:val="24"/>
        </w:rPr>
      </w:pPr>
      <w:r w:rsidRPr="00DD2E98">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DD2E98">
        <w:rPr>
          <w:rStyle w:val="apple-converted-space"/>
          <w:sz w:val="24"/>
          <w:szCs w:val="24"/>
          <w:shd w:val="clear" w:color="auto" w:fill="FFFFFF"/>
        </w:rPr>
        <w:t xml:space="preserve"> </w:t>
      </w:r>
      <w:hyperlink r:id="rId11" w:anchor="dst2620" w:history="1">
        <w:r w:rsidRPr="00DD2E98">
          <w:rPr>
            <w:rStyle w:val="a3"/>
            <w:sz w:val="24"/>
            <w:szCs w:val="24"/>
            <w:shd w:val="clear" w:color="auto" w:fill="FFFFFF"/>
          </w:rPr>
          <w:t>статьей 19.28</w:t>
        </w:r>
      </w:hyperlink>
      <w:r w:rsidRPr="00DD2E98">
        <w:rPr>
          <w:sz w:val="24"/>
          <w:szCs w:val="24"/>
        </w:rPr>
        <w:t xml:space="preserve"> </w:t>
      </w:r>
      <w:r w:rsidRPr="00DD2E98">
        <w:rPr>
          <w:sz w:val="24"/>
          <w:szCs w:val="24"/>
          <w:shd w:val="clear" w:color="auto" w:fill="FFFFFF"/>
        </w:rPr>
        <w:t>Кодекса Российской Федерации об административных правонарушениях</w:t>
      </w:r>
      <w:r w:rsidRPr="00DD2E98">
        <w:rPr>
          <w:sz w:val="24"/>
          <w:szCs w:val="24"/>
        </w:rPr>
        <w:t xml:space="preserve">; </w:t>
      </w:r>
    </w:p>
    <w:p w:rsidR="008B78C4" w:rsidRPr="00DD2E98" w:rsidRDefault="008B78C4" w:rsidP="008B78C4">
      <w:pPr>
        <w:suppressAutoHyphens w:val="0"/>
        <w:autoSpaceDE w:val="0"/>
        <w:autoSpaceDN w:val="0"/>
        <w:adjustRightInd w:val="0"/>
        <w:ind w:firstLine="540"/>
        <w:jc w:val="both"/>
        <w:rPr>
          <w:bCs/>
          <w:sz w:val="24"/>
          <w:szCs w:val="24"/>
          <w:lang w:eastAsia="ru-RU"/>
        </w:rPr>
      </w:pPr>
      <w:r w:rsidRPr="00DD2E98">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DD2E98">
        <w:rPr>
          <w:bCs/>
          <w:sz w:val="24"/>
          <w:szCs w:val="24"/>
          <w:lang w:eastAsia="ru-RU"/>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E98">
        <w:rPr>
          <w:bCs/>
          <w:sz w:val="24"/>
          <w:szCs w:val="24"/>
          <w:lang w:eastAsia="ru-RU"/>
        </w:rPr>
        <w:t>неполнородными</w:t>
      </w:r>
      <w:proofErr w:type="spellEnd"/>
      <w:r w:rsidRPr="00DD2E98">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78C4" w:rsidRPr="00DD2E98" w:rsidRDefault="008B78C4" w:rsidP="008B78C4">
      <w:pPr>
        <w:suppressAutoHyphens w:val="0"/>
        <w:autoSpaceDE w:val="0"/>
        <w:autoSpaceDN w:val="0"/>
        <w:adjustRightInd w:val="0"/>
        <w:ind w:firstLine="540"/>
        <w:jc w:val="both"/>
        <w:rPr>
          <w:b/>
          <w:bCs/>
          <w:sz w:val="24"/>
          <w:szCs w:val="24"/>
          <w:lang w:eastAsia="ru-RU"/>
        </w:rPr>
      </w:pPr>
      <w:r w:rsidRPr="00DD2E98">
        <w:rPr>
          <w:bCs/>
          <w:sz w:val="24"/>
          <w:szCs w:val="24"/>
          <w:lang w:eastAsia="ru-RU"/>
        </w:rPr>
        <w:t>3)  участник закупки не является офшорной компанией;</w:t>
      </w:r>
    </w:p>
    <w:p w:rsidR="008B78C4" w:rsidRPr="00DD2E98" w:rsidRDefault="008B78C4" w:rsidP="008B78C4">
      <w:pPr>
        <w:suppressAutoHyphens w:val="0"/>
        <w:autoSpaceDE w:val="0"/>
        <w:autoSpaceDN w:val="0"/>
        <w:adjustRightInd w:val="0"/>
        <w:ind w:firstLine="540"/>
        <w:jc w:val="both"/>
        <w:rPr>
          <w:bCs/>
          <w:sz w:val="24"/>
          <w:szCs w:val="24"/>
          <w:lang w:eastAsia="ru-RU"/>
        </w:rPr>
      </w:pPr>
      <w:r w:rsidRPr="00DD2E98">
        <w:rPr>
          <w:bCs/>
          <w:sz w:val="24"/>
          <w:szCs w:val="24"/>
          <w:lang w:eastAsia="ru-RU"/>
        </w:rPr>
        <w:t xml:space="preserve">4) отсутствие в предусмотренном настоящим Федеральным законом </w:t>
      </w:r>
      <w:hyperlink r:id="rId12" w:history="1">
        <w:r w:rsidRPr="00DD2E98">
          <w:rPr>
            <w:bCs/>
            <w:sz w:val="24"/>
            <w:szCs w:val="24"/>
            <w:lang w:eastAsia="ru-RU"/>
          </w:rPr>
          <w:t>реестре</w:t>
        </w:r>
      </w:hyperlink>
      <w:r w:rsidRPr="00DD2E98">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B78C4" w:rsidRPr="00DD2E98" w:rsidRDefault="008B78C4" w:rsidP="008B78C4">
      <w:pPr>
        <w:pStyle w:val="ConsPlusNormal"/>
        <w:widowControl/>
        <w:ind w:firstLine="540"/>
        <w:jc w:val="both"/>
        <w:rPr>
          <w:rFonts w:ascii="Times New Roman" w:hAnsi="Times New Roman"/>
          <w:b/>
          <w:i/>
          <w:sz w:val="24"/>
          <w:szCs w:val="24"/>
        </w:rPr>
      </w:pPr>
      <w:r w:rsidRPr="00DD2E98">
        <w:rPr>
          <w:rFonts w:ascii="Times New Roman" w:hAnsi="Times New Roman"/>
          <w:b/>
          <w:i/>
          <w:sz w:val="24"/>
          <w:szCs w:val="24"/>
        </w:rPr>
        <w:t>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B78C4" w:rsidRPr="00DD2E98" w:rsidRDefault="008B78C4" w:rsidP="008B78C4">
      <w:pPr>
        <w:pStyle w:val="ConsPlusNormal"/>
        <w:ind w:firstLine="0"/>
        <w:jc w:val="both"/>
        <w:rPr>
          <w:rFonts w:ascii="Times New Roman" w:hAnsi="Times New Roman"/>
          <w:sz w:val="24"/>
          <w:szCs w:val="24"/>
        </w:rPr>
      </w:pPr>
      <w:r w:rsidRPr="00DD2E98">
        <w:rPr>
          <w:rFonts w:ascii="Times New Roman" w:hAnsi="Times New Roman"/>
          <w:sz w:val="24"/>
          <w:szCs w:val="24"/>
        </w:rPr>
        <w:t xml:space="preserve">При этом к субъектам малого предпринимательства в соответствии с частью 1 статьи 4 Федерального закона «О развитии малого и среднего предпринимательства в Российской Федерации» от 24.07.2007 № 209-ФЗ относятся внесенные в единый государственный реестр юридических лиц потребительские кооперативы и </w:t>
      </w:r>
      <w:hyperlink r:id="rId13" w:history="1">
        <w:r w:rsidRPr="00DD2E98">
          <w:rPr>
            <w:rStyle w:val="a3"/>
            <w:rFonts w:ascii="Times New Roman" w:hAnsi="Times New Roman"/>
            <w:sz w:val="24"/>
            <w:szCs w:val="24"/>
          </w:rPr>
          <w:t>коммерческие организации</w:t>
        </w:r>
      </w:hyperlink>
      <w:r w:rsidRPr="00DD2E98">
        <w:rPr>
          <w:rFonts w:ascii="Times New Roman" w:hAnsi="Times New Roman"/>
          <w:sz w:val="24"/>
          <w:szCs w:val="24"/>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4" w:history="1">
        <w:r w:rsidRPr="00DD2E98">
          <w:rPr>
            <w:rStyle w:val="a3"/>
            <w:rFonts w:eastAsiaTheme="minorHAnsi"/>
            <w:sz w:val="24"/>
            <w:szCs w:val="24"/>
            <w:lang w:eastAsia="en-US"/>
          </w:rPr>
          <w:t>законом</w:t>
        </w:r>
      </w:hyperlink>
      <w:r w:rsidRPr="00DD2E98">
        <w:rPr>
          <w:rFonts w:eastAsiaTheme="minorHAnsi"/>
          <w:sz w:val="24"/>
          <w:szCs w:val="24"/>
          <w:lang w:eastAsia="en-US"/>
        </w:rPr>
        <w:t xml:space="preserve"> от 28 сентября 2010 года №244-ФЗ "Об инновационном центре "</w:t>
      </w:r>
      <w:proofErr w:type="spellStart"/>
      <w:r w:rsidRPr="00DD2E98">
        <w:rPr>
          <w:rFonts w:eastAsiaTheme="minorHAnsi"/>
          <w:sz w:val="24"/>
          <w:szCs w:val="24"/>
          <w:lang w:eastAsia="en-US"/>
        </w:rPr>
        <w:t>Сколково</w:t>
      </w:r>
      <w:proofErr w:type="spellEnd"/>
      <w:r w:rsidRPr="00DD2E98">
        <w:rPr>
          <w:rFonts w:eastAsiaTheme="minorHAnsi"/>
          <w:sz w:val="24"/>
          <w:szCs w:val="24"/>
          <w:lang w:eastAsia="en-US"/>
        </w:rPr>
        <w:t xml:space="preserve">", на юридические </w:t>
      </w:r>
      <w:r w:rsidRPr="00DD2E98">
        <w:rPr>
          <w:rFonts w:eastAsiaTheme="minorHAnsi"/>
          <w:sz w:val="24"/>
          <w:szCs w:val="24"/>
          <w:lang w:eastAsia="en-US"/>
        </w:rPr>
        <w:lastRenderedPageBreak/>
        <w:t xml:space="preserve">лица, учредителями (участниками) которых являются юридические лица, включенные в утвержденный Правительством Российской Федерации </w:t>
      </w:r>
      <w:hyperlink r:id="rId15" w:history="1">
        <w:r w:rsidRPr="00DD2E98">
          <w:rPr>
            <w:rStyle w:val="a3"/>
            <w:rFonts w:eastAsiaTheme="minorHAnsi"/>
            <w:sz w:val="24"/>
            <w:szCs w:val="24"/>
            <w:lang w:eastAsia="en-US"/>
          </w:rPr>
          <w:t>перечень</w:t>
        </w:r>
      </w:hyperlink>
      <w:r w:rsidRPr="00DD2E98">
        <w:rPr>
          <w:rFonts w:eastAsiaTheme="minorHAnsi"/>
          <w:sz w:val="24"/>
          <w:szCs w:val="24"/>
          <w:lang w:eastAsia="en-US"/>
        </w:rPr>
        <w:t xml:space="preserve"> юридических лиц, предоставляющих государственную поддержку инновационной деятельности в формах, установленных Федеральным </w:t>
      </w:r>
      <w:hyperlink r:id="rId16" w:history="1">
        <w:r w:rsidRPr="00DD2E98">
          <w:rPr>
            <w:rStyle w:val="a3"/>
            <w:rFonts w:eastAsiaTheme="minorHAnsi"/>
            <w:sz w:val="24"/>
            <w:szCs w:val="24"/>
            <w:lang w:eastAsia="en-US"/>
          </w:rPr>
          <w:t>законом</w:t>
        </w:r>
      </w:hyperlink>
      <w:r w:rsidRPr="00DD2E98">
        <w:rPr>
          <w:rFonts w:eastAsiaTheme="minorHAnsi"/>
          <w:sz w:val="24"/>
          <w:szCs w:val="24"/>
          <w:lang w:eastAsia="en-US"/>
        </w:rPr>
        <w:t xml:space="preserve"> от 23 августа 1996 года №127-ФЗ "О науке и государственной научно-технической политике". Юридические лица включаются в данный перечень в </w:t>
      </w:r>
      <w:hyperlink r:id="rId17" w:history="1">
        <w:r w:rsidRPr="00DD2E98">
          <w:rPr>
            <w:rStyle w:val="a3"/>
            <w:rFonts w:eastAsiaTheme="minorHAnsi"/>
            <w:sz w:val="24"/>
            <w:szCs w:val="24"/>
            <w:lang w:eastAsia="en-US"/>
          </w:rPr>
          <w:t>порядке</w:t>
        </w:r>
      </w:hyperlink>
      <w:r w:rsidRPr="00DD2E98">
        <w:rPr>
          <w:rFonts w:eastAsiaTheme="minorHAnsi"/>
          <w:sz w:val="24"/>
          <w:szCs w:val="24"/>
          <w:lang w:eastAsia="en-US"/>
        </w:rPr>
        <w:t>, установленном Правительством Российской Федерации, при условии соответствия одному из следующих критериев:</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 xml:space="preserve">б) юридические лица являются государственными корпорациями, учрежденными в соответствии с Федеральным </w:t>
      </w:r>
      <w:hyperlink r:id="rId18" w:history="1">
        <w:r w:rsidRPr="00DD2E98">
          <w:rPr>
            <w:rStyle w:val="a3"/>
            <w:rFonts w:eastAsiaTheme="minorHAnsi"/>
            <w:sz w:val="24"/>
            <w:szCs w:val="24"/>
            <w:lang w:eastAsia="en-US"/>
          </w:rPr>
          <w:t>законом</w:t>
        </w:r>
      </w:hyperlink>
      <w:r w:rsidRPr="00DD2E98">
        <w:rPr>
          <w:rFonts w:eastAsiaTheme="minorHAnsi"/>
          <w:sz w:val="24"/>
          <w:szCs w:val="24"/>
          <w:lang w:eastAsia="en-US"/>
        </w:rPr>
        <w:t xml:space="preserve"> от 12 января 1996 года №7-ФЗ "О некоммерческих организациях";</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 xml:space="preserve">2) </w:t>
      </w:r>
      <w:hyperlink r:id="rId19" w:history="1">
        <w:r w:rsidRPr="00DD2E98">
          <w:rPr>
            <w:rStyle w:val="a3"/>
            <w:rFonts w:eastAsiaTheme="minorHAnsi"/>
            <w:sz w:val="24"/>
            <w:szCs w:val="24"/>
            <w:lang w:eastAsia="en-US"/>
          </w:rPr>
          <w:t>средняя численность</w:t>
        </w:r>
      </w:hyperlink>
      <w:r w:rsidRPr="00DD2E98">
        <w:rPr>
          <w:rFonts w:eastAsiaTheme="minorHAnsi"/>
          <w:sz w:val="24"/>
          <w:szCs w:val="24"/>
          <w:lang w:eastAsia="en-US"/>
        </w:rPr>
        <w:t xml:space="preserve"> работников за предшествующий календарный год не должна превышать ста человек включительно; </w:t>
      </w:r>
    </w:p>
    <w:p w:rsidR="008B78C4" w:rsidRPr="00DD2E98" w:rsidRDefault="008B78C4" w:rsidP="008B78C4">
      <w:pPr>
        <w:widowControl w:val="0"/>
        <w:autoSpaceDE w:val="0"/>
        <w:autoSpaceDN w:val="0"/>
        <w:adjustRightInd w:val="0"/>
        <w:ind w:firstLine="720"/>
        <w:jc w:val="both"/>
        <w:rPr>
          <w:sz w:val="24"/>
          <w:szCs w:val="24"/>
        </w:rPr>
      </w:pPr>
      <w:r w:rsidRPr="00DD2E98">
        <w:rPr>
          <w:rFonts w:eastAsiaTheme="minorHAnsi"/>
          <w:sz w:val="24"/>
          <w:szCs w:val="24"/>
          <w:lang w:eastAsia="en-US"/>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r w:rsidRPr="00DD2E98">
        <w:rPr>
          <w:sz w:val="24"/>
          <w:szCs w:val="24"/>
        </w:rPr>
        <w:t>800 млн руб. (Постановление Правительства РФ от 13.07.2015 №702 "О предельных значениях выручки от реализации товаров (работ, услуг) для каждой категории субъектов малого и среднего предпринимательства").</w:t>
      </w:r>
    </w:p>
    <w:p w:rsidR="008B78C4" w:rsidRPr="00DD2E98" w:rsidRDefault="008B78C4" w:rsidP="008B78C4">
      <w:pPr>
        <w:widowControl w:val="0"/>
        <w:autoSpaceDE w:val="0"/>
        <w:autoSpaceDN w:val="0"/>
        <w:adjustRightInd w:val="0"/>
        <w:ind w:firstLine="720"/>
        <w:jc w:val="both"/>
        <w:rPr>
          <w:sz w:val="24"/>
          <w:szCs w:val="24"/>
        </w:rPr>
      </w:pPr>
      <w:r w:rsidRPr="00DD2E98">
        <w:rPr>
          <w:sz w:val="24"/>
          <w:szCs w:val="24"/>
        </w:rPr>
        <w:t>К социально ориентированным некоммерческим организациям в целях применения ст. 30 Закона №44-ФЗ необходимо относить организации, осуществляющие виды деятельности, предусмотренные п. 1 ст. 31.1 Федерального закона от 12.01.1996 №7-ФЗ «О некоммерческих организациях», а именно:</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1) социальное обслуживание, социальная поддержка и защита граждан;</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4) охрана окружающей среды и защита животных;</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7) профилактика социально опасных форм поведения граждан;</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8) благотворительная деятельность, а также деятельность в области содействия благотворительности и добровольчества;</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lastRenderedPageBreak/>
        <w:t>10) формирование в обществе нетерпимости к коррупционному поведению;</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11) развитие межнационального сотрудничества, сохранение и защита самобытности, культуры, языков и традиций народов Российской Федерации;</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12) деятельность в сфере патриотического, в том числе военно-патриотического, воспитания граждан Российской Федерации;</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14) участие в профилактике и (или) тушении пожаров и проведении аварийно-спасательных работ;</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15) социальная и культурная адаптация и интеграция мигрантов;</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 xml:space="preserve">16) мероприятия по медицинской реабилитации и социальной реабилитации, социальной и трудовой </w:t>
      </w:r>
      <w:proofErr w:type="spellStart"/>
      <w:r w:rsidRPr="00DD2E98">
        <w:rPr>
          <w:rFonts w:eastAsiaTheme="minorHAnsi"/>
          <w:sz w:val="24"/>
          <w:szCs w:val="24"/>
          <w:lang w:eastAsia="en-US"/>
        </w:rPr>
        <w:t>реинтеграции</w:t>
      </w:r>
      <w:proofErr w:type="spellEnd"/>
      <w:r w:rsidRPr="00DD2E98">
        <w:rPr>
          <w:rFonts w:eastAsiaTheme="minorHAnsi"/>
          <w:sz w:val="24"/>
          <w:szCs w:val="24"/>
          <w:lang w:eastAsia="en-US"/>
        </w:rPr>
        <w:t xml:space="preserve"> лиц, осуществляющих незаконное потребление наркотических средств или психотропных веществ;</w:t>
      </w:r>
    </w:p>
    <w:p w:rsidR="008B78C4" w:rsidRPr="00DD2E98" w:rsidRDefault="008B78C4" w:rsidP="008B78C4">
      <w:pPr>
        <w:autoSpaceDE w:val="0"/>
        <w:autoSpaceDN w:val="0"/>
        <w:adjustRightInd w:val="0"/>
        <w:ind w:firstLine="540"/>
        <w:jc w:val="both"/>
        <w:rPr>
          <w:rFonts w:eastAsiaTheme="minorHAnsi"/>
          <w:sz w:val="24"/>
          <w:szCs w:val="24"/>
          <w:lang w:eastAsia="en-US"/>
        </w:rPr>
      </w:pPr>
      <w:r w:rsidRPr="00DD2E98">
        <w:rPr>
          <w:rFonts w:eastAsiaTheme="minorHAnsi"/>
          <w:sz w:val="24"/>
          <w:szCs w:val="24"/>
          <w:lang w:eastAsia="en-US"/>
        </w:rPr>
        <w:t>17) содействие повышению мобильности трудовых ресурсов;</w:t>
      </w:r>
    </w:p>
    <w:p w:rsidR="008B78C4" w:rsidRPr="00DD2E98" w:rsidRDefault="008B78C4" w:rsidP="008B78C4">
      <w:pPr>
        <w:autoSpaceDE w:val="0"/>
        <w:autoSpaceDN w:val="0"/>
        <w:adjustRightInd w:val="0"/>
        <w:jc w:val="both"/>
        <w:rPr>
          <w:sz w:val="24"/>
          <w:szCs w:val="24"/>
        </w:rPr>
      </w:pPr>
      <w:r w:rsidRPr="00DD2E98">
        <w:rPr>
          <w:rFonts w:eastAsiaTheme="minorHAnsi"/>
          <w:sz w:val="24"/>
          <w:szCs w:val="24"/>
          <w:lang w:eastAsia="en-US"/>
        </w:rPr>
        <w:t xml:space="preserve">        18) увековечение памяти жертв политических репрессий.</w:t>
      </w:r>
    </w:p>
    <w:p w:rsidR="008B78C4" w:rsidRPr="00DD2E98" w:rsidRDefault="008B78C4" w:rsidP="008B78C4">
      <w:pPr>
        <w:suppressAutoHyphens w:val="0"/>
        <w:autoSpaceDE w:val="0"/>
        <w:autoSpaceDN w:val="0"/>
        <w:adjustRightInd w:val="0"/>
        <w:ind w:firstLine="540"/>
        <w:jc w:val="both"/>
        <w:rPr>
          <w:bCs/>
          <w:sz w:val="24"/>
          <w:szCs w:val="24"/>
          <w:lang w:eastAsia="ru-RU"/>
        </w:rPr>
      </w:pPr>
    </w:p>
    <w:p w:rsidR="008B78C4" w:rsidRPr="00DD2E98" w:rsidRDefault="008B78C4" w:rsidP="008B78C4">
      <w:pPr>
        <w:ind w:firstLine="540"/>
        <w:jc w:val="both"/>
        <w:rPr>
          <w:bCs/>
          <w:sz w:val="24"/>
          <w:szCs w:val="24"/>
          <w:lang w:eastAsia="ru-RU"/>
        </w:rPr>
      </w:pPr>
    </w:p>
    <w:p w:rsidR="007C3FAE" w:rsidRDefault="007C3FAE">
      <w:bookmarkStart w:id="0" w:name="_GoBack"/>
      <w:bookmarkEnd w:id="0"/>
    </w:p>
    <w:sectPr w:rsidR="007C3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D2"/>
    <w:rsid w:val="007C3FAE"/>
    <w:rsid w:val="008B78C4"/>
    <w:rsid w:val="00E1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20641-B8DE-44DB-916D-186E27E1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C4"/>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B78C4"/>
    <w:rPr>
      <w:rFonts w:cs="Times New Roman"/>
      <w:color w:val="0000FF"/>
      <w:u w:val="single"/>
    </w:rPr>
  </w:style>
  <w:style w:type="paragraph" w:customStyle="1" w:styleId="ConsPlusNormal">
    <w:name w:val="ConsPlusNormal"/>
    <w:next w:val="a"/>
    <w:link w:val="ConsPlusNormal0"/>
    <w:rsid w:val="008B78C4"/>
    <w:pPr>
      <w:widowControl w:val="0"/>
      <w:suppressAutoHyphens/>
      <w:autoSpaceDE w:val="0"/>
      <w:spacing w:after="0" w:line="240" w:lineRule="auto"/>
      <w:ind w:firstLine="720"/>
    </w:pPr>
    <w:rPr>
      <w:rFonts w:ascii="Arial" w:eastAsia="Times New Roman" w:hAnsi="Arial" w:cs="Times New Roman"/>
      <w:kern w:val="1"/>
      <w:lang w:eastAsia="ar-SA"/>
    </w:rPr>
  </w:style>
  <w:style w:type="paragraph" w:styleId="a4">
    <w:name w:val="Normal (Web)"/>
    <w:aliases w:val="Обычный (Web)"/>
    <w:basedOn w:val="a"/>
    <w:rsid w:val="008B78C4"/>
    <w:pPr>
      <w:suppressAutoHyphens w:val="0"/>
      <w:spacing w:before="100" w:beforeAutospacing="1" w:after="119"/>
    </w:pPr>
    <w:rPr>
      <w:sz w:val="24"/>
      <w:szCs w:val="24"/>
      <w:lang w:eastAsia="ru-RU"/>
    </w:rPr>
  </w:style>
  <w:style w:type="character" w:customStyle="1" w:styleId="ConsPlusNormal0">
    <w:name w:val="ConsPlusNormal Знак"/>
    <w:link w:val="ConsPlusNormal"/>
    <w:locked/>
    <w:rsid w:val="008B78C4"/>
    <w:rPr>
      <w:rFonts w:ascii="Arial" w:eastAsia="Times New Roman" w:hAnsi="Arial" w:cs="Times New Roman"/>
      <w:kern w:val="1"/>
      <w:lang w:eastAsia="ar-SA"/>
    </w:rPr>
  </w:style>
  <w:style w:type="character" w:customStyle="1" w:styleId="apple-converted-space">
    <w:name w:val="apple-converted-space"/>
    <w:rsid w:val="008B78C4"/>
  </w:style>
  <w:style w:type="paragraph" w:customStyle="1" w:styleId="4">
    <w:name w:val="Обычный4"/>
    <w:rsid w:val="008B78C4"/>
    <w:pPr>
      <w:widowControl w:val="0"/>
      <w:suppressAutoHyphens/>
      <w:snapToGrid w:val="0"/>
      <w:spacing w:after="0" w:line="300" w:lineRule="auto"/>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hyperlink" Target="consultantplus://offline/ref=08017B2ACB2E7E8773F66B5BEA5819C30E86515D90B860A58BD9D4D10F2E941D6CCC6DC17E6F568FCBH8L" TargetMode="External"/><Relationship Id="rId18" Type="http://schemas.openxmlformats.org/officeDocument/2006/relationships/hyperlink" Target="consultantplus://offline/ref=08017B2ACB2E7E8773F66B5BEA5819C30E865A5F95B860A58BD9D4D10FC2HE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4B591D5A0C9AF1D9595E7A2167487753D86D775269084DC2F7771EF0EB99A7D426197F32694709FDD8u5J" TargetMode="External"/><Relationship Id="rId17" Type="http://schemas.openxmlformats.org/officeDocument/2006/relationships/hyperlink" Target="consultantplus://offline/ref=08017B2ACB2E7E8773F66B5BEA5819C30E89515990B660A58BD9D4D10F2E941D6CCC6DC17E6F5487CBH2L" TargetMode="External"/><Relationship Id="rId2" Type="http://schemas.openxmlformats.org/officeDocument/2006/relationships/settings" Target="settings.xml"/><Relationship Id="rId16" Type="http://schemas.openxmlformats.org/officeDocument/2006/relationships/hyperlink" Target="consultantplus://offline/ref=08017B2ACB2E7E8773F66B5BEA5819C30E86515F9EB960A58BD9D4D10F2E941D6CCC6DC17AC6HB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5" Type="http://schemas.openxmlformats.org/officeDocument/2006/relationships/hyperlink" Target="consultantplus://offline/ref=08017B2ACB2E7E8773F66B5BEA5819C30E86505E97BE60A58BD9D4D10F2E941D6CCC6DC17E6F5487CBHCL" TargetMode="External"/><Relationship Id="rId10" Type="http://schemas.openxmlformats.org/officeDocument/2006/relationships/hyperlink" Target="http://www.consultant.ru/document/cons_doc_LAW_10699/a74ca4364cb5aa0d95db2b7636907af350ab52c8/" TargetMode="External"/><Relationship Id="rId19" Type="http://schemas.openxmlformats.org/officeDocument/2006/relationships/hyperlink" Target="consultantplus://offline/ref=08017B2ACB2E7E8773F66B5BEA5819C30E89535A92B760A58BD9D4D10F2E941D6CCC6DC17E6F5282CBHEL"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hyperlink" Target="consultantplus://offline/ref=08017B2ACB2E7E8773F66B5BEA5819C30E86525090BA60A58BD9D4D10F2E941D6CCC6DC17E6F5586CB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2151</Words>
  <Characters>12264</Characters>
  <Application>Microsoft Office Word</Application>
  <DocSecurity>0</DocSecurity>
  <Lines>102</Lines>
  <Paragraphs>28</Paragraphs>
  <ScaleCrop>false</ScaleCrop>
  <Company>ФСС</Company>
  <LinksUpToDate>false</LinksUpToDate>
  <CharactersWithSpaces>14387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Шадова М.Х.</dc:creator>
  <cp:keywords/>
  <dc:description/>
  <cp:lastModifiedBy>Шадова М.Х.</cp:lastModifiedBy>
  <cp:revision>2</cp:revision>
  <dcterms:created xsi:type="dcterms:W3CDTF">2018-04-04T07:15:00Z</dcterms:created>
  <dcterms:modified xsi:type="dcterms:W3CDTF">2018-04-04T07:15:00Z</dcterms:modified>
</cp:coreProperties>
</file>