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1) Участник закупки должен быть членом СРО в области строительства, реконструкции, капитального ремонта объектов капитального строительства (за исключением случаев, предусмотренных частями 2.1, 2.2 статьи 52 Градостроительного кодекса РФ) и соответствовать совокупности следующих условий: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1. наличие у саморегулируемой организации, членом которой является участник, компенсационного фонда обеспечения договорных обязательств;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2. совокупный размер обязательств по указанным в пункте №1  договорам не превышает предельный размер обязательств, </w:t>
      </w:r>
      <w:proofErr w:type="gramStart"/>
      <w:r>
        <w:t>исходя из которого участником был</w:t>
      </w:r>
      <w:proofErr w:type="gramEnd"/>
      <w:r>
        <w:t xml:space="preserve"> внесен взнос в  компенсационный фонд обеспечения договорных обязательств;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3. иметь право выполнять работы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Документы, предоставляемые во второй части заявки: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Выписка из реестра членов СРО в области строительства, реконструкции, капитального ремонта объектов капитального строительства. В составе заявки участник должен предоставить действующую выписку из реестра членов СРО в области строительства, реконструкции, капитального ремонта объектов капитального строительства по форме, утвержденной Приказом </w:t>
      </w:r>
      <w:proofErr w:type="spellStart"/>
      <w:r>
        <w:t>Ростехнадзора</w:t>
      </w:r>
      <w:proofErr w:type="spellEnd"/>
      <w:r>
        <w:t xml:space="preserve"> от 16.02.2017 №58 (с учетом случаев, предусмотренных частями 2.1, 2.2 статьи 52 Градостроительного кодекса РФ). Данная выписка должна быть действующей на дату окончания срока подачи заявок в электронном аукционе.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Соответствие пункту №2 подтверждается фактом подачи заявки на участие в аукционе, свидетельствующей о декларировании участником соответствие данному требованию.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Не требуется членство в СРО и подтверждающие документы участникам закупки: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- в </w:t>
      </w:r>
      <w:proofErr w:type="gramStart"/>
      <w:r>
        <w:t>случаях</w:t>
      </w:r>
      <w:proofErr w:type="gramEnd"/>
      <w:r>
        <w:t xml:space="preserve"> перечисленных в части 2.2. статьи 52 Градостроительного кодекса Российской Федерации;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- </w:t>
      </w:r>
      <w:proofErr w:type="gramStart"/>
      <w:r>
        <w:t>предложившим</w:t>
      </w:r>
      <w:proofErr w:type="gramEnd"/>
      <w:r>
        <w:t xml:space="preserve"> цену контракта, не превышающую 3 (трех) млн. рублей; 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>
        <w:lastRenderedPageBreak/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7) участник закупки не является офшорной компанией;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2. </w:t>
      </w:r>
      <w:proofErr w:type="gramStart"/>
      <w:r>
        <w:t xml:space="preserve">Требование, предъявляемое к участникам аукциона в соответствии с частью 1.1 (статьи 31 Федерального закона № 44-ФЗ от 05.04.2013 «О контрактной системе в сфере закупок товаров, работ, услуг для обеспечения государственных и муниципальных нужд»: </w:t>
      </w:r>
      <w:proofErr w:type="gramEnd"/>
    </w:p>
    <w:p w:rsidR="00313ECE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>Установлено</w:t>
      </w:r>
    </w:p>
    <w:p w:rsidR="00D15930" w:rsidRDefault="00313ECE" w:rsidP="00313ECE">
      <w:pPr>
        <w:tabs>
          <w:tab w:val="left" w:pos="0"/>
        </w:tabs>
        <w:spacing w:line="240" w:lineRule="auto"/>
        <w:ind w:right="-1" w:firstLine="567"/>
        <w:jc w:val="both"/>
      </w:pPr>
      <w:r>
        <w:t xml:space="preserve"> </w:t>
      </w:r>
      <w:proofErr w:type="gramStart"/>
      <w:r>
        <w:t>-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bookmarkStart w:id="0" w:name="_GoBack"/>
      <w:bookmarkEnd w:id="0"/>
      <w:proofErr w:type="gramEnd"/>
    </w:p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313ECE"/>
    <w:rsid w:val="004E0855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2018-10-09T10:50:00Z</dcterms:created>
  <dcterms:modified xsi:type="dcterms:W3CDTF">2018-10-09T10:50:00Z</dcterms:modified>
</cp:coreProperties>
</file>