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0" w:rsidRPr="00125FA2" w:rsidRDefault="00125FA2" w:rsidP="00125F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УЧАСТНИКАМ</w:t>
      </w:r>
    </w:p>
    <w:p w:rsidR="00125FA2" w:rsidRDefault="00125FA2" w:rsidP="0012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>Поставка подгузников для взрослых инвалидов в 2018 году</w:t>
      </w:r>
    </w:p>
    <w:p w:rsidR="00125FA2" w:rsidRDefault="00125FA2" w:rsidP="00125FA2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>Преимущества участникам</w:t>
      </w:r>
      <w:r w:rsidRPr="00125FA2">
        <w:rPr>
          <w:rFonts w:ascii="Times New Roman" w:hAnsi="Times New Roman" w:cs="Times New Roman"/>
          <w:sz w:val="24"/>
          <w:szCs w:val="24"/>
        </w:rPr>
        <w:tab/>
      </w:r>
    </w:p>
    <w:p w:rsidR="00125FA2" w:rsidRPr="00125FA2" w:rsidRDefault="00125FA2" w:rsidP="00125FA2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>Организациям инвалидов (в соответствии со статьей 29 Федерального закона № 44-ФЗ) не более 15 %</w:t>
      </w:r>
    </w:p>
    <w:p w:rsidR="00125FA2" w:rsidRP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 xml:space="preserve">Организациям инвалидов (в соответствии со статьей 29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FA2">
        <w:rPr>
          <w:rFonts w:ascii="Times New Roman" w:hAnsi="Times New Roman" w:cs="Times New Roman"/>
          <w:b/>
          <w:sz w:val="24"/>
          <w:szCs w:val="24"/>
        </w:rPr>
        <w:t>-</w:t>
      </w:r>
      <w:r w:rsidRPr="00125FA2">
        <w:rPr>
          <w:rFonts w:ascii="Times New Roman" w:hAnsi="Times New Roman" w:cs="Times New Roman"/>
          <w:b/>
          <w:sz w:val="24"/>
          <w:szCs w:val="24"/>
        </w:rPr>
        <w:tab/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A2" w:rsidRP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 xml:space="preserve">Учреждениям и предприятиям уголовно-исполнительной системы (в соответствии со статьей 28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FA2">
        <w:rPr>
          <w:rFonts w:ascii="Times New Roman" w:hAnsi="Times New Roman" w:cs="Times New Roman"/>
          <w:sz w:val="24"/>
          <w:szCs w:val="24"/>
        </w:rPr>
        <w:tab/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125FA2" w:rsidRP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социально ориентированным некоммерческим организациям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5FA2">
        <w:rPr>
          <w:rFonts w:ascii="Times New Roman" w:hAnsi="Times New Roman" w:cs="Times New Roman"/>
          <w:sz w:val="24"/>
          <w:szCs w:val="24"/>
        </w:rPr>
        <w:tab/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125FA2" w:rsidRP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>Участникам, заявки или окончательные предложения которых содержат предложения о поставке товаров в соответствии с приказом Минэкономразви</w:t>
      </w:r>
      <w:r>
        <w:rPr>
          <w:rFonts w:ascii="Times New Roman" w:hAnsi="Times New Roman" w:cs="Times New Roman"/>
          <w:sz w:val="24"/>
          <w:szCs w:val="24"/>
        </w:rPr>
        <w:t xml:space="preserve">тия России № 155 от 25.03.2014 - </w:t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125FA2" w:rsidRP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>Требования к участникам</w:t>
      </w:r>
    </w:p>
    <w:p w:rsidR="00125FA2" w:rsidRPr="00125FA2" w:rsidRDefault="00125FA2" w:rsidP="00125FA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 xml:space="preserve">Единые требования к участникам (в соответствии с частью 1 Статьи 31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5FA2">
        <w:rPr>
          <w:rFonts w:ascii="Times New Roman" w:hAnsi="Times New Roman" w:cs="Times New Roman"/>
          <w:sz w:val="24"/>
          <w:szCs w:val="24"/>
        </w:rPr>
        <w:tab/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125FA2" w:rsidRPr="00125FA2" w:rsidRDefault="00125FA2" w:rsidP="00125FA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закупок в соответствии с частью 1.1 статьи 31 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5FA2">
        <w:rPr>
          <w:rFonts w:ascii="Times New Roman" w:hAnsi="Times New Roman" w:cs="Times New Roman"/>
          <w:sz w:val="24"/>
          <w:szCs w:val="24"/>
        </w:rPr>
        <w:tab/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125FA2" w:rsidRPr="00125FA2" w:rsidRDefault="00125FA2" w:rsidP="00125FA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125FA2" w:rsidRPr="00125FA2" w:rsidRDefault="00125FA2" w:rsidP="00125FA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5FA2">
        <w:rPr>
          <w:rFonts w:ascii="Times New Roman" w:hAnsi="Times New Roman" w:cs="Times New Roman"/>
          <w:sz w:val="24"/>
          <w:szCs w:val="24"/>
        </w:rPr>
        <w:t>Ограничения и запреты</w:t>
      </w:r>
      <w:r w:rsidRPr="00125FA2">
        <w:rPr>
          <w:rFonts w:ascii="Times New Roman" w:hAnsi="Times New Roman" w:cs="Times New Roman"/>
          <w:sz w:val="24"/>
          <w:szCs w:val="24"/>
        </w:rPr>
        <w:tab/>
      </w:r>
    </w:p>
    <w:p w:rsidR="00125FA2" w:rsidRPr="00125FA2" w:rsidRDefault="00125FA2" w:rsidP="00125FA2">
      <w:pPr>
        <w:pStyle w:val="a3"/>
        <w:numPr>
          <w:ilvl w:val="1"/>
          <w:numId w:val="1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FA2">
        <w:rPr>
          <w:rFonts w:ascii="Times New Roman" w:hAnsi="Times New Roman" w:cs="Times New Roman"/>
          <w:sz w:val="24"/>
          <w:szCs w:val="24"/>
        </w:rPr>
        <w:t xml:space="preserve">Закупка у субъектов малого предпринимательства 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125FA2" w:rsidRPr="003C4362" w:rsidRDefault="00125FA2" w:rsidP="00125FA2">
      <w:pPr>
        <w:pStyle w:val="a3"/>
        <w:numPr>
          <w:ilvl w:val="1"/>
          <w:numId w:val="1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FA2">
        <w:rPr>
          <w:rFonts w:ascii="Times New Roman" w:hAnsi="Times New Roman" w:cs="Times New Roman"/>
          <w:sz w:val="24"/>
          <w:szCs w:val="24"/>
        </w:rPr>
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5FA2">
        <w:rPr>
          <w:rFonts w:ascii="Times New Roman" w:hAnsi="Times New Roman" w:cs="Times New Roman"/>
          <w:sz w:val="24"/>
          <w:szCs w:val="24"/>
        </w:rPr>
        <w:tab/>
      </w:r>
      <w:r w:rsidRPr="00125FA2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установлено</w:t>
      </w:r>
    </w:p>
    <w:p w:rsidR="003C4362" w:rsidRDefault="003C4362" w:rsidP="003C436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362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являющимся объектом закупки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36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C4362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362">
        <w:rPr>
          <w:rFonts w:ascii="Times New Roman" w:hAnsi="Times New Roman" w:cs="Times New Roman"/>
          <w:sz w:val="24"/>
          <w:szCs w:val="24"/>
        </w:rPr>
        <w:lastRenderedPageBreak/>
        <w:t>неприостановление</w:t>
      </w:r>
      <w:proofErr w:type="spellEnd"/>
      <w:r w:rsidRPr="003C4362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362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C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362">
        <w:rPr>
          <w:rFonts w:ascii="Times New Roman" w:hAnsi="Times New Roman" w:cs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C4362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C436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C4362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362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3C4362">
        <w:rPr>
          <w:rFonts w:ascii="Times New Roman" w:hAnsi="Times New Roman" w:cs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 являющегося объектом осуществляемой закупки, и административного наказания в виде дисквалификации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362">
        <w:rPr>
          <w:rFonts w:ascii="Times New Roman" w:hAnsi="Times New Roman" w:cs="Times New Roman"/>
          <w:sz w:val="24"/>
          <w:szCs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362">
        <w:rPr>
          <w:rFonts w:ascii="Times New Roman" w:hAnsi="Times New Roman" w:cs="Times New Roman"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C4362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3C4362">
        <w:rPr>
          <w:rFonts w:ascii="Times New Roman" w:hAnsi="Times New Roman" w:cs="Times New Roman"/>
          <w:sz w:val="24"/>
          <w:szCs w:val="24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3C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362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C4362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3C4362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C4362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</w:t>
      </w:r>
      <w:proofErr w:type="gramStart"/>
      <w:r w:rsidRPr="003C4362">
        <w:rPr>
          <w:rFonts w:ascii="Times New Roman" w:hAnsi="Times New Roman" w:cs="Times New Roman"/>
          <w:sz w:val="24"/>
          <w:szCs w:val="24"/>
        </w:rPr>
        <w:t>долей, превышающей десять процентов в уставном капитале хозяйственного общества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  <w:proofErr w:type="gramEnd"/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362">
        <w:rPr>
          <w:rFonts w:ascii="Times New Roman" w:hAnsi="Times New Roman" w:cs="Times New Roman"/>
          <w:sz w:val="24"/>
          <w:szCs w:val="24"/>
        </w:rPr>
        <w:t>участник закупки не является офшорной компанией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</w:p>
    <w:p w:rsidR="003C4362" w:rsidRPr="003C4362" w:rsidRDefault="003C4362" w:rsidP="003C436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362">
        <w:rPr>
          <w:rFonts w:ascii="Times New Roman" w:hAnsi="Times New Roman" w:cs="Times New Roman"/>
          <w:sz w:val="24"/>
          <w:szCs w:val="24"/>
        </w:rPr>
        <w:t>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3C436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C4362">
        <w:rPr>
          <w:rFonts w:ascii="Times New Roman" w:hAnsi="Times New Roman" w:cs="Times New Roman"/>
          <w:b/>
          <w:sz w:val="24"/>
          <w:szCs w:val="24"/>
          <w:u w:val="single"/>
        </w:rPr>
        <w:t>Установлено</w:t>
      </w:r>
      <w:bookmarkEnd w:id="0"/>
    </w:p>
    <w:sectPr w:rsidR="003C4362" w:rsidRPr="003C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935"/>
    <w:multiLevelType w:val="multilevel"/>
    <w:tmpl w:val="ABFC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AF277D"/>
    <w:multiLevelType w:val="hybridMultilevel"/>
    <w:tmpl w:val="44D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A2"/>
    <w:rsid w:val="00125FA2"/>
    <w:rsid w:val="003C4362"/>
    <w:rsid w:val="007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2</cp:revision>
  <dcterms:created xsi:type="dcterms:W3CDTF">2018-04-27T12:38:00Z</dcterms:created>
  <dcterms:modified xsi:type="dcterms:W3CDTF">2018-04-27T12:38:00Z</dcterms:modified>
</cp:coreProperties>
</file>