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ind w:firstLine="567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№3 к извещению </w:t>
      </w:r>
    </w:p>
    <w:p>
      <w:pPr>
        <w:pStyle w:val="11"/>
        <w:ind w:firstLine="567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 проведении электронного конкурса </w:t>
      </w:r>
    </w:p>
    <w:p>
      <w:pPr>
        <w:pStyle w:val="11"/>
        <w:ind w:firstLine="567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11"/>
        <w:ind w:firstLine="567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Наименование и описание объекта закупки</w:t>
      </w:r>
    </w:p>
    <w:p>
      <w:pPr>
        <w:pStyle w:val="11"/>
        <w:ind w:firstLine="567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Выполнение работ по изготовлению протезов нижних конечностей для граждан в целях их социального обеспечения в 2025 г. </w:t>
      </w:r>
    </w:p>
    <w:p>
      <w:pPr>
        <w:pStyle w:val="11"/>
        <w:ind w:firstLine="567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Text"/>
        <w:widowControl w:val="false"/>
        <w:tabs>
          <w:tab w:val="clear" w:pos="720"/>
          <w:tab w:val="left" w:pos="2783" w:leader="none"/>
        </w:tabs>
        <w:suppressAutoHyphens w:val="true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качеству работ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Протезы соответствоуют ГОСТ 51819-2022 «Протезирование и ортезирование верхних и нижних конечностей. Термины и определения», ГОСТ 51632-2021 «Технические средства реабилитации людей с ограничениями жизнедеятельности. Общие технические требования и методы испытаний». ГОСТ Р 59542-2021 «Реабилитационные мероприятия. Услуги по обучению пользованию протезом нижней конечности».</w:t>
      </w:r>
    </w:p>
    <w:p>
      <w:pPr>
        <w:pStyle w:val="Text"/>
        <w:widowControl w:val="false"/>
        <w:suppressAutoHyphens w:val="true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"/>
        <w:widowControl w:val="false"/>
        <w:suppressAutoHyphens w:val="true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техническим характеристикам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Протезы соответствуют требованиям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цитотоксичность методами in vitro», ГОСТ ISO 10993-10-2023 «Изделия медицинские. Оценка биологического действия медицинских изделий. Часть 10. Исследования сенсибилизирующего действия» ГОСТ 51632-2021 «Технические средства реабилитации людей с ограничениями жизнедеятельности. Общие технические требования и методы испытаний». ГОСТ Р 52770-20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 xml:space="preserve"> «Изделия медицинские. Система оценки биологического действия. Общие требования безопасности.»  </w:t>
      </w:r>
      <w:bookmarkStart w:id="0" w:name="_GoBack"/>
      <w:r>
        <w:rPr>
          <w:sz w:val="24"/>
          <w:szCs w:val="24"/>
        </w:rPr>
        <w:t>ГОСТ Р ИСО 22523-2007</w:t>
      </w:r>
      <w:bookmarkEnd w:id="0"/>
      <w:r>
        <w:rPr>
          <w:sz w:val="24"/>
          <w:szCs w:val="24"/>
        </w:rPr>
        <w:t xml:space="preserve"> «Протезы конечностей и ортезы наружные. Требования и методы испытаний».</w:t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 к функциональным характеристикам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Выполняемые работы по изготовлению протезов для получателей содержат комплекс мероприятий проводимых с пациентами, имеющими дефекты опорно-двигательного аппарата, в целях восстановления или компенсации ограничений их жизнедеятельности.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по проведению комплекса мероприятий, направлены на частичное восстановление опорно-двигательных функций и устранение косметических дефектов нижних конечностей получателей с помощью протезов. </w:t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 к размерам, маркировке, упаковке, транспортированию и хранению изделий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Маркировка, упаковка, транспортирование и хранение изделий соответствуют требованиям ГОСТ Р 51632-2021 «Технические средства реабилитации людей с ограничениями жизнедеятельности Общие технические требования и методы испытаний»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отправка протезов к месту нахождения получателей  осуществляется с соблюдением требований ГОСТ 20790-93 «Приборы аппараты и оборудование медицинские. Общие технические условия». Упаковка протезов  обеспечивает защиту от повреждений, порчи (изнашивания) или загрязнения во время хранения и транспортировки к месту использования по назначению. 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Требование к результатам работ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Работы по изготовлению протезов для инвалидов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болезни, а также проведено обучение Получателя пользованию протезом в соответствии с требованиями ГОСТ Р 59542-2021. Работы по изготовлению протезов для Получателей выполнены с надлежащим качеством и в установленные сроки.</w:t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 к сроку и (или) объему предоставленных гарантий качества выполнения работ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пользования протезами нижних конечностей составляет не менее минимального срока пользования, установленного приказом Минтруда и соцзащиты РФ от 05.03.2020 № 107н.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Гарантийный срок на изделие составляет 12 месяцев со дня выдачи Изделия Получателю.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Место, условия и сроки выполнения работ</w:t>
      </w:r>
      <w:r>
        <w:rPr>
          <w:sz w:val="24"/>
          <w:szCs w:val="24"/>
        </w:rPr>
        <w:t>: Производить замеры по месту жительства Получателей или по согласованию с Получателями на территории г. Севастополя. Выдать Изделие непосредственно Получателям по месту жительства или, по согласованию с Получателями, на территории г. Севастополя, в течение 60 календарных дней с даты получения Реестров Подрядчиком, на основании Направления Заказчика.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выполнение работ по изготовлению протезов для инвалидов включает проведение медицинских мероприятий, то выполнение таких работ  осуществляется при наличии у Подрядчика и (или) привлекаемого им Субподрядчика действующей лицензии на осуществление медицинской деятельности в соответствии с положениями Федерального закона от 04.05.2011 № 99-ФЗ «О лицензировании отдельных видов деятельности». По требованию заказчика предоставлять копию указанной лицензии.</w:t>
      </w:r>
    </w:p>
    <w:p>
      <w:pPr>
        <w:pStyle w:val="11"/>
        <w:ind w:firstLine="567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11"/>
        <w:ind w:firstLine="567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tbl>
      <w:tblPr>
        <w:tblStyle w:val="a6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6094"/>
      </w:tblGrid>
      <w:tr>
        <w:trPr>
          <w:trHeight w:val="673" w:hRule="atLeast"/>
        </w:trPr>
        <w:tc>
          <w:tcPr>
            <w:tcW w:w="38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Протез бедра для купания – 2 шт.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для купания.  Без косметической оболочки и облицовки. Приемная гильза индивидуальная (одна пробная гильза). Материал индивидуальной постоянной гильзы: литьевой слоистый пластик на основе акриловых смол. Крепление протеза вакуумное, дополнительное крепление с помощью эластичного бандажа. РСУ влагостойкое, соответствует весу инвалида. Стопа со средней степенью энергосбережения имеет поверхность с защитой от проскальзывания, позволяющей передвигаться по влажной и скользкой поверхности. Коленный модуль полицентрический   Тип протеза по назначению: для купания.</w:t>
            </w:r>
          </w:p>
        </w:tc>
      </w:tr>
      <w:tr>
        <w:trPr>
          <w:trHeight w:val="673" w:hRule="atLeast"/>
        </w:trPr>
        <w:tc>
          <w:tcPr>
            <w:tcW w:w="38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Протез бедра для купания – 2 шт.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для купания состоит из подобранной индивидуально по размеру стопы, голеностопного и коленного узлов и приемной гильзы, без косметической оболочки и облицовки. Приемная гильза изготовлена по слепку с культи инвалида из слоистого пластика на основе акриловых смол. Для получателя изготавливается одна примерочная гильза из термопластичного материала. Регулировочно-соединительные устройства влагостойкое. Крепление протеза с помощью силиконового лайнера и замка. Коленный модуль полицентрический, защищен от попадания влаги. Стопа влагостойкая, для получателей низкого уровня активности. Подошва стопы имеет поверхность с защитой от проскальзывания и позволяет безопасно ходить по мокрым и скользким поверхностям.</w:t>
            </w:r>
          </w:p>
        </w:tc>
      </w:tr>
      <w:tr>
        <w:trPr>
          <w:trHeight w:val="673" w:hRule="atLeast"/>
        </w:trPr>
        <w:tc>
          <w:tcPr>
            <w:tcW w:w="38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модульный, в том числе при врожденном недоразвитии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– 2 шт. </w:t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модульный с замком в коленном шарнире. Косметическая оболочка полиуретановая. Косметическое покрытие облицовки – чулки ортопедические перлоновые. Приемная гильза индивидуальная (одна пробная гильза). Материал индивидуальной постоянной гильзы: литьевой слоистый пластик на основе акриловых смол. Крепление протеза с помощью силиконового лайнера и замка. Регулировочно-соединительные устройства соответствуют весу инвалида. Стопа в зависимости от медицинских показаний: с голеностопным шарниром, подвижным в сагиттальной плоскости, со сменным пяточным амортизатором; стопа с голеностопным шарниром подвижным в сагиттальной плоскости с двухступенчатой регулируемой пациентом высотой каблука; стопа типа SACH.</w:t>
            </w:r>
          </w:p>
        </w:tc>
      </w:tr>
      <w:tr>
        <w:trPr>
          <w:trHeight w:val="673" w:hRule="atLeast"/>
        </w:trPr>
        <w:tc>
          <w:tcPr>
            <w:tcW w:w="38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761" w:leader="none"/>
              </w:tabs>
              <w:suppressAutoHyphens w:val="true"/>
              <w:spacing w:before="0" w:after="0"/>
              <w:jc w:val="center"/>
              <w:rPr>
                <w:lang w:bidi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модульный, в том числе при врожденном недоразвитии – 1 шт.</w:t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ru-RU"/>
              </w:rPr>
              <w:t>Протез бедра модульный с замком в коленном шарнире. Косметическая оболочка полиуретановая. Косметическое покрытие облицовки – чулки ортопедические перлоновые. Приемная гильза индивидуальная (одна пробная гильза). Материал индивидуальной постоянной гильзы: литьевой слоистый пластик на основе акриловых смол. Крепление протеза вакуумное с использованием бандажа. Регулировочно-соединительные устройства соответствуют весу инвалида. Стопа в зависимости от медицинских показаний: с голеностопным шарниром, подвижным в сагиттальной плоскости, со сменным пяточным амортизатором; стопа с голеностопным шарниром подвижным в сагиттальной плоскости с двухступенчатой регулируемой пациентом высотой каблука; стопа типа SACH.</w:t>
            </w:r>
          </w:p>
        </w:tc>
      </w:tr>
      <w:tr>
        <w:trPr>
          <w:trHeight w:val="255" w:hRule="atLeast"/>
        </w:trPr>
        <w:tc>
          <w:tcPr>
            <w:tcW w:w="991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418" w:right="1274" w:gutter="0" w:header="0" w:top="709" w:footer="0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c1597"/>
    <w:pPr>
      <w:keepNext w:val="true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unhideWhenUsed/>
    <w:rsid w:val="009a01f8"/>
    <w:rPr>
      <w:color w:val="0000FF"/>
      <w:u w:val="single"/>
    </w:rPr>
  </w:style>
  <w:style w:type="character" w:styleId="14" w:customStyle="1">
    <w:name w:val="Стиль 14 пт"/>
    <w:basedOn w:val="DefaultParagraphFont"/>
    <w:qFormat/>
    <w:rsid w:val="00074d0a"/>
    <w:rPr>
      <w:rFonts w:ascii="Times New Roman" w:hAnsi="Times New Roman"/>
      <w:sz w:val="28"/>
    </w:rPr>
  </w:style>
  <w:style w:type="character" w:styleId="1" w:customStyle="1">
    <w:name w:val="Основной текст Знак1"/>
    <w:uiPriority w:val="99"/>
    <w:qFormat/>
    <w:locked/>
    <w:rsid w:val="00f31006"/>
    <w:rPr>
      <w:rFonts w:ascii="Times New Roman" w:hAnsi="Times New Roman" w:cs="Times New Roman"/>
      <w:sz w:val="29"/>
      <w:szCs w:val="29"/>
      <w:shd w:fill="FFFFFF" w:val="clear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c1597"/>
    <w:rPr>
      <w:rFonts w:ascii="Calibri Light" w:hAnsi="Calibri Light"/>
      <w:b/>
      <w:bCs/>
      <w:sz w:val="26"/>
      <w:szCs w:val="26"/>
    </w:rPr>
  </w:style>
  <w:style w:type="character" w:styleId="Cardmaininfocontent" w:customStyle="1">
    <w:name w:val="cardmaininfo__content"/>
    <w:basedOn w:val="DefaultParagraphFont"/>
    <w:qFormat/>
    <w:rsid w:val="00214d18"/>
    <w:rPr/>
  </w:style>
  <w:style w:type="character" w:styleId="Strong">
    <w:name w:val="Strong"/>
    <w:basedOn w:val="DefaultParagraphFont"/>
    <w:uiPriority w:val="22"/>
    <w:qFormat/>
    <w:rsid w:val="00fc49b6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Обычный1"/>
    <w:qFormat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Название1"/>
    <w:basedOn w:val="11"/>
    <w:next w:val="11"/>
    <w:qFormat/>
    <w:pPr>
      <w:jc w:val="center"/>
    </w:pPr>
    <w:rPr>
      <w:b/>
    </w:rPr>
  </w:style>
  <w:style w:type="paragraph" w:styleId="BalloonText">
    <w:name w:val="Balloon Text"/>
    <w:basedOn w:val="Normal"/>
    <w:semiHidden/>
    <w:qFormat/>
    <w:rsid w:val="000b34f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33d"/>
    <w:pPr>
      <w:spacing w:before="0" w:after="0"/>
      <w:ind w:left="720" w:hanging="0"/>
      <w:contextualSpacing/>
    </w:pPr>
    <w:rPr/>
  </w:style>
  <w:style w:type="paragraph" w:styleId="32" w:customStyle="1">
    <w:name w:val="Обычный3"/>
    <w:qFormat/>
    <w:rsid w:val="00f31006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 w:customStyle="1">
    <w:name w:val="Обычный2"/>
    <w:qFormat/>
    <w:rsid w:val="00f31006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Сетка таблицы2"/>
    <w:qFormat/>
    <w:rsid w:val="00217184"/>
    <w:pPr>
      <w:widowControl/>
      <w:suppressAutoHyphens w:val="true"/>
      <w:bidi w:val="0"/>
      <w:spacing w:before="0" w:after="0"/>
      <w:jc w:val="left"/>
    </w:pPr>
    <w:rPr>
      <w:rFonts w:ascii="Calibri" w:hAnsi="Calibri" w:eastAsia="ヒラギノ角ゴ Pro W3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d175c4"/>
    <w:pPr>
      <w:spacing w:beforeAutospacing="1" w:afterAutospacing="1"/>
    </w:pPr>
    <w:rPr>
      <w:sz w:val="24"/>
      <w:szCs w:val="24"/>
    </w:rPr>
  </w:style>
  <w:style w:type="paragraph" w:styleId="Text" w:customStyle="1">
    <w:name w:val="text"/>
    <w:basedOn w:val="Normal"/>
    <w:qFormat/>
    <w:rsid w:val="00ca3faf"/>
    <w:pPr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4a019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17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21e29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95A5-D019-4F8E-AF5A-B812CBAC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LibreOffice/7.4.0.3$Windows_X86_64 LibreOffice_project/f85e47c08ddd19c015c0114a68350214f7066f5a</Application>
  <AppVersion>15.0000</AppVersion>
  <Pages>3</Pages>
  <Words>897</Words>
  <Characters>6680</Characters>
  <CharactersWithSpaces>7568</CharactersWithSpaces>
  <Paragraphs>29</Paragraphs>
  <Company>MRO FSS RF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2024-12-04T12:34:00Z</dcterms:created>
  <dc:creator>ORG_LENA</dc:creator>
  <dc:description/>
  <dc:language>ru-RU</dc:language>
  <cp:lastModifiedBy/>
  <cp:lastPrinted>2018-07-27T08:04:00Z</cp:lastPrinted>
  <dcterms:modified xsi:type="dcterms:W3CDTF">2024-12-10T16:20:08Z</dcterms:modified>
  <cp:revision>7</cp:revision>
  <dc:subject/>
  <dc:title>ФОНД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