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2" w:rsidRPr="00E25042" w:rsidRDefault="00E25042" w:rsidP="001C3BD2">
      <w:pPr>
        <w:ind w:firstLine="7371"/>
        <w:jc w:val="right"/>
        <w:rPr>
          <w:sz w:val="16"/>
          <w:szCs w:val="16"/>
        </w:rPr>
      </w:pPr>
      <w:r w:rsidRPr="00E2504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  <w:r w:rsidRPr="00E25042">
        <w:rPr>
          <w:sz w:val="16"/>
          <w:szCs w:val="16"/>
        </w:rPr>
        <w:t xml:space="preserve"> к извещению </w:t>
      </w:r>
    </w:p>
    <w:p w:rsidR="00E25042" w:rsidRPr="00E25042" w:rsidRDefault="00E25042" w:rsidP="001C3BD2">
      <w:pPr>
        <w:ind w:firstLine="7371"/>
        <w:jc w:val="right"/>
        <w:rPr>
          <w:sz w:val="16"/>
          <w:szCs w:val="16"/>
        </w:rPr>
      </w:pPr>
      <w:r w:rsidRPr="00E25042">
        <w:rPr>
          <w:sz w:val="16"/>
          <w:szCs w:val="16"/>
        </w:rPr>
        <w:t>об осуществлении закупки</w:t>
      </w:r>
    </w:p>
    <w:p w:rsidR="00BF6964" w:rsidRPr="00E5114E" w:rsidRDefault="00BF6964" w:rsidP="00BF6964">
      <w:pPr>
        <w:ind w:right="-712"/>
        <w:jc w:val="center"/>
        <w:rPr>
          <w:b/>
        </w:rPr>
      </w:pPr>
    </w:p>
    <w:p w:rsidR="00BF6964" w:rsidRPr="00091AAF" w:rsidRDefault="00BF6964" w:rsidP="00BF6964">
      <w:pPr>
        <w:pStyle w:val="a4"/>
        <w:jc w:val="right"/>
      </w:pPr>
    </w:p>
    <w:p w:rsidR="00BF6964" w:rsidRPr="00FD3AA0" w:rsidRDefault="00BF6964" w:rsidP="00BF6964">
      <w:pPr>
        <w:pStyle w:val="a4"/>
        <w:rPr>
          <w:b/>
        </w:rPr>
      </w:pPr>
    </w:p>
    <w:p w:rsidR="001C3BD2" w:rsidRPr="001C3BD2" w:rsidRDefault="001C3BD2" w:rsidP="001C3BD2">
      <w:pPr>
        <w:suppressAutoHyphens w:val="0"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C3BD2">
        <w:rPr>
          <w:rFonts w:eastAsia="Calibri"/>
          <w:b/>
          <w:bCs/>
          <w:sz w:val="24"/>
          <w:szCs w:val="24"/>
          <w:lang w:eastAsia="en-US"/>
        </w:rPr>
        <w:t>Описание объекта закупки</w:t>
      </w:r>
    </w:p>
    <w:p w:rsidR="001C3BD2" w:rsidRPr="001C3BD2" w:rsidRDefault="001C3BD2" w:rsidP="001C3BD2">
      <w:pPr>
        <w:autoSpaceDN w:val="0"/>
        <w:ind w:firstLine="709"/>
        <w:jc w:val="center"/>
        <w:textAlignment w:val="baseline"/>
        <w:rPr>
          <w:rFonts w:eastAsia="Tahoma"/>
          <w:b/>
          <w:spacing w:val="-7"/>
          <w:kern w:val="3"/>
          <w:sz w:val="24"/>
          <w:szCs w:val="24"/>
          <w:lang w:eastAsia="zh-CN" w:bidi="hi-IN"/>
        </w:rPr>
      </w:pPr>
    </w:p>
    <w:p w:rsidR="001C3BD2" w:rsidRPr="001C3BD2" w:rsidRDefault="001C3BD2" w:rsidP="001C3BD2">
      <w:pPr>
        <w:autoSpaceDN w:val="0"/>
        <w:jc w:val="center"/>
        <w:textAlignment w:val="baseline"/>
        <w:rPr>
          <w:rFonts w:eastAsia="Tahoma"/>
          <w:b/>
          <w:spacing w:val="-7"/>
          <w:kern w:val="3"/>
          <w:sz w:val="24"/>
          <w:szCs w:val="24"/>
          <w:lang w:eastAsia="zh-CN" w:bidi="hi-IN"/>
        </w:rPr>
      </w:pPr>
      <w:r w:rsidRPr="001C3BD2">
        <w:rPr>
          <w:rFonts w:eastAsia="Tahoma"/>
          <w:b/>
          <w:spacing w:val="-7"/>
          <w:kern w:val="3"/>
          <w:sz w:val="24"/>
          <w:szCs w:val="24"/>
          <w:lang w:eastAsia="zh-CN" w:bidi="hi-IN"/>
        </w:rPr>
        <w:t>ТЕХНИЧЕСКОЕ ЗАДАНИЕ</w:t>
      </w:r>
    </w:p>
    <w:p w:rsidR="001C3BD2" w:rsidRPr="001C3BD2" w:rsidRDefault="001C3BD2" w:rsidP="001C3BD2">
      <w:pPr>
        <w:autoSpaceDN w:val="0"/>
        <w:jc w:val="center"/>
        <w:textAlignment w:val="baseline"/>
        <w:rPr>
          <w:rFonts w:eastAsia="Tahoma"/>
          <w:b/>
          <w:spacing w:val="-7"/>
          <w:kern w:val="3"/>
          <w:sz w:val="24"/>
          <w:szCs w:val="24"/>
          <w:lang w:eastAsia="zh-CN" w:bidi="hi-IN"/>
        </w:rPr>
      </w:pPr>
      <w:r w:rsidRPr="001C3BD2">
        <w:rPr>
          <w:rFonts w:eastAsia="Tahoma"/>
          <w:b/>
          <w:bCs/>
          <w:kern w:val="3"/>
          <w:sz w:val="24"/>
          <w:szCs w:val="24"/>
          <w:lang w:eastAsia="zh-CN" w:bidi="hi-IN"/>
        </w:rPr>
        <w:t xml:space="preserve">на  </w:t>
      </w:r>
      <w:r w:rsidR="009A4FAB">
        <w:rPr>
          <w:rFonts w:eastAsia="Tahoma"/>
          <w:b/>
          <w:bCs/>
          <w:kern w:val="3"/>
          <w:sz w:val="24"/>
          <w:szCs w:val="24"/>
          <w:lang w:eastAsia="zh-CN" w:bidi="hi-IN"/>
        </w:rPr>
        <w:t>оказание услуг</w:t>
      </w:r>
      <w:r w:rsidRPr="001C3BD2">
        <w:rPr>
          <w:rFonts w:eastAsia="Tahoma"/>
          <w:b/>
          <w:bCs/>
          <w:kern w:val="3"/>
          <w:sz w:val="24"/>
          <w:szCs w:val="24"/>
          <w:lang w:eastAsia="zh-CN" w:bidi="hi-IN"/>
        </w:rPr>
        <w:t xml:space="preserve"> по ремонту протезов нижних конечностей в целях социального обеспечения граждан в 2024 году</w:t>
      </w:r>
    </w:p>
    <w:p w:rsidR="001C3BD2" w:rsidRPr="00333956" w:rsidRDefault="00333956" w:rsidP="00333956">
      <w:pPr>
        <w:pStyle w:val="ac"/>
        <w:numPr>
          <w:ilvl w:val="0"/>
          <w:numId w:val="3"/>
        </w:numPr>
        <w:autoSpaceDN w:val="0"/>
        <w:textAlignment w:val="baseline"/>
        <w:rPr>
          <w:rFonts w:eastAsia="Tahoma"/>
          <w:b/>
          <w:spacing w:val="-7"/>
          <w:kern w:val="3"/>
          <w:sz w:val="24"/>
          <w:szCs w:val="24"/>
          <w:lang w:eastAsia="zh-CN" w:bidi="hi-IN"/>
        </w:rPr>
      </w:pPr>
      <w:r>
        <w:rPr>
          <w:rFonts w:eastAsia="Tahoma"/>
          <w:b/>
          <w:spacing w:val="-7"/>
          <w:kern w:val="3"/>
          <w:sz w:val="24"/>
          <w:szCs w:val="24"/>
          <w:lang w:eastAsia="zh-CN" w:bidi="hi-IN"/>
        </w:rPr>
        <w:t>Описание объекта закупки: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2599"/>
        <w:gridCol w:w="4649"/>
        <w:gridCol w:w="1044"/>
        <w:gridCol w:w="1466"/>
      </w:tblGrid>
      <w:tr w:rsidR="001C3BD2" w:rsidRPr="001C3BD2" w:rsidTr="00692158">
        <w:trPr>
          <w:trHeight w:val="79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BD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C3BD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D2" w:rsidRPr="001C3BD2" w:rsidRDefault="00C65FB8" w:rsidP="001C3BD2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  <w:rPr>
                <w:sz w:val="24"/>
                <w:szCs w:val="24"/>
                <w:lang w:eastAsia="ru-RU"/>
              </w:rPr>
            </w:pPr>
            <w:r w:rsidRPr="00C65FB8">
              <w:rPr>
                <w:sz w:val="24"/>
                <w:szCs w:val="24"/>
                <w:lang w:eastAsia="ru-RU"/>
              </w:rPr>
              <w:t>Информация о происхождении услуги, используемых частей и (или) материалов для ремонта изделия, используемых при оказании услуг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6921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692158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Срок изготовления</w:t>
            </w:r>
          </w:p>
        </w:tc>
      </w:tr>
      <w:tr w:rsidR="001C3BD2" w:rsidRPr="001C3BD2" w:rsidTr="00692158">
        <w:trPr>
          <w:trHeight w:val="126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58" w:rsidRDefault="009C19E8" w:rsidP="006921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19E8">
              <w:rPr>
                <w:b/>
                <w:sz w:val="24"/>
                <w:szCs w:val="24"/>
                <w:lang w:eastAsia="ru-RU"/>
              </w:rPr>
              <w:t>КТРУ: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3BD2">
              <w:rPr>
                <w:sz w:val="24"/>
                <w:szCs w:val="24"/>
                <w:lang w:eastAsia="ru-RU"/>
              </w:rPr>
              <w:t>33.19.10.000-0000000</w:t>
            </w:r>
            <w:r w:rsidR="006049F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–</w:t>
            </w:r>
            <w:r w:rsidR="00692158" w:rsidRPr="00692158">
              <w:rPr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  <w:p w:rsidR="00F179DD" w:rsidRPr="00333956" w:rsidRDefault="00692158" w:rsidP="0069215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92158">
              <w:rPr>
                <w:sz w:val="24"/>
                <w:szCs w:val="24"/>
                <w:lang w:eastAsia="ru-RU"/>
              </w:rPr>
              <w:t>КОЗ: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C19E8">
              <w:rPr>
                <w:sz w:val="24"/>
                <w:szCs w:val="24"/>
                <w:lang w:eastAsia="ru-RU"/>
              </w:rPr>
              <w:t xml:space="preserve"> </w:t>
            </w:r>
            <w:r w:rsidRPr="00692158">
              <w:rPr>
                <w:b/>
                <w:sz w:val="24"/>
                <w:szCs w:val="24"/>
                <w:lang w:eastAsia="ru-RU"/>
              </w:rPr>
              <w:t>02.34.01.0</w:t>
            </w:r>
            <w:r w:rsidR="00F179DD" w:rsidRPr="00F179DD">
              <w:rPr>
                <w:b/>
                <w:sz w:val="24"/>
                <w:szCs w:val="24"/>
                <w:lang w:eastAsia="ru-RU"/>
              </w:rPr>
              <w:t>2</w:t>
            </w:r>
          </w:p>
          <w:p w:rsidR="00692158" w:rsidRPr="00692158" w:rsidRDefault="00692158" w:rsidP="006921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158">
              <w:rPr>
                <w:sz w:val="24"/>
                <w:szCs w:val="24"/>
                <w:lang w:eastAsia="ru-RU"/>
              </w:rPr>
              <w:t>Ремонт технических средств реабилитации, включая проте</w:t>
            </w:r>
            <w:r>
              <w:rPr>
                <w:sz w:val="24"/>
                <w:szCs w:val="24"/>
                <w:lang w:eastAsia="ru-RU"/>
              </w:rPr>
              <w:t>зно-ортопедические изделия</w:t>
            </w:r>
            <w:r w:rsidR="001C3BD2" w:rsidRPr="001C3BD2">
              <w:rPr>
                <w:sz w:val="24"/>
                <w:szCs w:val="24"/>
                <w:lang w:eastAsia="ru-RU"/>
              </w:rPr>
              <w:br/>
            </w:r>
            <w:r w:rsidRPr="00692158">
              <w:rPr>
                <w:b/>
                <w:sz w:val="24"/>
                <w:szCs w:val="24"/>
                <w:lang w:eastAsia="ru-RU"/>
              </w:rPr>
              <w:t>Классификация:</w:t>
            </w:r>
          </w:p>
          <w:p w:rsidR="00445E9D" w:rsidRDefault="00692158" w:rsidP="00445E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45E9D" w:rsidRPr="001C3BD2">
              <w:rPr>
                <w:sz w:val="24"/>
                <w:szCs w:val="24"/>
                <w:lang w:eastAsia="ru-RU"/>
              </w:rPr>
              <w:t>24-01-01</w:t>
            </w:r>
          </w:p>
          <w:p w:rsidR="001C3BD2" w:rsidRPr="001C3BD2" w:rsidRDefault="00692158" w:rsidP="006921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Ремонт протеза голени для купания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D2" w:rsidRPr="001C3BD2" w:rsidRDefault="001C3BD2" w:rsidP="001C3B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1C3BD2">
              <w:rPr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1C3BD2">
              <w:rPr>
                <w:sz w:val="24"/>
                <w:szCs w:val="24"/>
                <w:lang w:eastAsia="ru-RU"/>
              </w:rPr>
              <w:t xml:space="preserve"> гильзы протеза голени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голени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вспененных материалов. Водостойкий РСУ.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60 дней</w:t>
            </w:r>
          </w:p>
        </w:tc>
      </w:tr>
      <w:tr w:rsidR="001C3BD2" w:rsidRPr="001C3BD2" w:rsidTr="00692158">
        <w:trPr>
          <w:trHeight w:val="27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58" w:rsidRDefault="001C3BD2" w:rsidP="006921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br/>
            </w:r>
            <w:r w:rsidR="0006554D" w:rsidRPr="00692158">
              <w:rPr>
                <w:b/>
                <w:sz w:val="24"/>
                <w:szCs w:val="24"/>
                <w:lang w:eastAsia="ru-RU"/>
              </w:rPr>
              <w:t>КТРУ:</w:t>
            </w:r>
            <w:r w:rsidR="0006554D" w:rsidRPr="0006554D">
              <w:rPr>
                <w:sz w:val="24"/>
                <w:szCs w:val="24"/>
                <w:lang w:eastAsia="ru-RU"/>
              </w:rPr>
              <w:t xml:space="preserve"> 33.19.10.000-0000000</w:t>
            </w:r>
            <w:r w:rsidR="006049F2">
              <w:rPr>
                <w:sz w:val="24"/>
                <w:szCs w:val="24"/>
                <w:lang w:eastAsia="ru-RU"/>
              </w:rPr>
              <w:t>2</w:t>
            </w:r>
            <w:r w:rsidR="00692158" w:rsidRPr="00692158">
              <w:rPr>
                <w:sz w:val="24"/>
                <w:szCs w:val="24"/>
                <w:lang w:eastAsia="ru-RU"/>
              </w:rPr>
              <w:t>–Услуги по ремонту прочего оборудования</w:t>
            </w:r>
          </w:p>
          <w:p w:rsidR="00F179DD" w:rsidRPr="00F179DD" w:rsidRDefault="00692158" w:rsidP="0069215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КОЗ:</w:t>
            </w:r>
            <w:r>
              <w:t xml:space="preserve"> </w:t>
            </w:r>
            <w:r w:rsidRPr="00692158">
              <w:rPr>
                <w:b/>
                <w:sz w:val="24"/>
                <w:szCs w:val="24"/>
                <w:lang w:eastAsia="ru-RU"/>
              </w:rPr>
              <w:t>02.34.01.0</w:t>
            </w:r>
            <w:r w:rsidR="00F179DD" w:rsidRPr="00F179DD">
              <w:rPr>
                <w:b/>
                <w:sz w:val="24"/>
                <w:szCs w:val="24"/>
                <w:lang w:eastAsia="ru-RU"/>
              </w:rPr>
              <w:t>2</w:t>
            </w:r>
          </w:p>
          <w:p w:rsidR="00692158" w:rsidRPr="0006554D" w:rsidRDefault="00692158" w:rsidP="006921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158">
              <w:rPr>
                <w:sz w:val="24"/>
                <w:szCs w:val="24"/>
                <w:lang w:eastAsia="ru-RU"/>
              </w:rPr>
              <w:t>Ремонт технических средств реабилитации, включая протезно-ортопедические изделия</w:t>
            </w:r>
          </w:p>
          <w:p w:rsidR="00692158" w:rsidRPr="00692158" w:rsidRDefault="00692158" w:rsidP="0006554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92158">
              <w:rPr>
                <w:b/>
                <w:sz w:val="24"/>
                <w:szCs w:val="24"/>
                <w:lang w:eastAsia="ru-RU"/>
              </w:rPr>
              <w:t>Классификация:</w:t>
            </w:r>
          </w:p>
          <w:p w:rsidR="00692158" w:rsidRDefault="0006554D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54D">
              <w:rPr>
                <w:sz w:val="24"/>
                <w:szCs w:val="24"/>
                <w:lang w:eastAsia="ru-RU"/>
              </w:rPr>
              <w:t>24-01-01</w:t>
            </w:r>
            <w:r w:rsidR="00692158" w:rsidRPr="001C3BD2">
              <w:rPr>
                <w:sz w:val="24"/>
                <w:szCs w:val="24"/>
                <w:lang w:eastAsia="ru-RU"/>
              </w:rPr>
              <w:t xml:space="preserve"> </w:t>
            </w:r>
          </w:p>
          <w:p w:rsidR="0006554D" w:rsidRPr="0006554D" w:rsidRDefault="00692158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Ремонт протеза бедра для купания                     </w:t>
            </w:r>
          </w:p>
          <w:p w:rsidR="001C3BD2" w:rsidRPr="001C3BD2" w:rsidRDefault="001C3BD2" w:rsidP="0069215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D2" w:rsidRPr="001C3BD2" w:rsidRDefault="001C3BD2" w:rsidP="001C3B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1C3BD2">
              <w:rPr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1C3BD2">
              <w:rPr>
                <w:sz w:val="24"/>
                <w:szCs w:val="24"/>
                <w:lang w:eastAsia="ru-RU"/>
              </w:rPr>
              <w:t xml:space="preserve"> гильзы протеза бедра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 с креплением полимерным чехлом с замком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 Водостойкий РСУ.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60 дней</w:t>
            </w:r>
          </w:p>
        </w:tc>
      </w:tr>
      <w:tr w:rsidR="001C3BD2" w:rsidRPr="001C3BD2" w:rsidTr="00692158">
        <w:trPr>
          <w:trHeight w:val="126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F2" w:rsidRDefault="00692158" w:rsidP="0006554D">
            <w:pPr>
              <w:suppressAutoHyphens w:val="0"/>
              <w:jc w:val="center"/>
            </w:pPr>
            <w:r w:rsidRPr="006049F2">
              <w:rPr>
                <w:b/>
                <w:sz w:val="24"/>
                <w:szCs w:val="24"/>
                <w:lang w:eastAsia="ru-RU"/>
              </w:rPr>
              <w:t>КТРУ:</w:t>
            </w:r>
            <w:r w:rsidRPr="0006554D">
              <w:rPr>
                <w:sz w:val="24"/>
                <w:szCs w:val="24"/>
                <w:lang w:eastAsia="ru-RU"/>
              </w:rPr>
              <w:t xml:space="preserve"> 33.19.10.000-0000000</w:t>
            </w:r>
            <w:r w:rsidR="006049F2">
              <w:rPr>
                <w:sz w:val="24"/>
                <w:szCs w:val="24"/>
                <w:lang w:eastAsia="ru-RU"/>
              </w:rPr>
              <w:t>2</w:t>
            </w:r>
            <w:r w:rsidR="006049F2">
              <w:t xml:space="preserve"> - </w:t>
            </w:r>
            <w:r w:rsidR="006049F2" w:rsidRPr="006049F2">
              <w:rPr>
                <w:sz w:val="24"/>
                <w:szCs w:val="24"/>
                <w:lang w:eastAsia="ru-RU"/>
              </w:rPr>
              <w:t>Услуги по ремонту прочего оборудования</w:t>
            </w:r>
            <w:r w:rsidR="006049F2">
              <w:t xml:space="preserve"> </w:t>
            </w:r>
          </w:p>
          <w:p w:rsidR="00692158" w:rsidRDefault="006049F2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sz w:val="24"/>
                <w:szCs w:val="24"/>
                <w:lang w:eastAsia="ru-RU"/>
              </w:rPr>
              <w:t xml:space="preserve">КОЗ: </w:t>
            </w:r>
            <w:r w:rsidRPr="006049F2">
              <w:rPr>
                <w:b/>
                <w:sz w:val="24"/>
                <w:szCs w:val="24"/>
                <w:lang w:eastAsia="ru-RU"/>
              </w:rPr>
              <w:t>02.34.01.0</w:t>
            </w:r>
            <w:r w:rsidR="00F179DD" w:rsidRPr="00F179DD">
              <w:rPr>
                <w:b/>
                <w:sz w:val="24"/>
                <w:szCs w:val="24"/>
                <w:lang w:eastAsia="ru-RU"/>
              </w:rPr>
              <w:t>2</w:t>
            </w:r>
            <w:r w:rsidRPr="006049F2">
              <w:rPr>
                <w:sz w:val="24"/>
                <w:szCs w:val="24"/>
                <w:lang w:eastAsia="ru-RU"/>
              </w:rPr>
              <w:t xml:space="preserve"> Ремонт технических средств реабилитации, включая протезно-ортопедические изделия</w:t>
            </w:r>
          </w:p>
          <w:p w:rsidR="006049F2" w:rsidRPr="006049F2" w:rsidRDefault="006049F2" w:rsidP="006049F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49F2">
              <w:rPr>
                <w:b/>
                <w:sz w:val="24"/>
                <w:szCs w:val="24"/>
                <w:lang w:eastAsia="ru-RU"/>
              </w:rPr>
              <w:t>Классификация:</w:t>
            </w:r>
          </w:p>
          <w:p w:rsidR="006049F2" w:rsidRDefault="0006554D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54D">
              <w:rPr>
                <w:sz w:val="24"/>
                <w:szCs w:val="24"/>
                <w:lang w:eastAsia="ru-RU"/>
              </w:rPr>
              <w:t>24-01-01</w:t>
            </w:r>
          </w:p>
          <w:p w:rsidR="006049F2" w:rsidRPr="0006554D" w:rsidRDefault="006049F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 Ремонт протеза голени модульного, в том числе при недоразвитии                </w:t>
            </w:r>
          </w:p>
          <w:p w:rsidR="0006554D" w:rsidRPr="0006554D" w:rsidRDefault="0006554D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C3BD2" w:rsidRPr="001C3BD2" w:rsidRDefault="001C3BD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D2" w:rsidRPr="001C3BD2" w:rsidRDefault="001C3BD2" w:rsidP="001C3B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1C3BD2">
              <w:rPr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1C3BD2">
              <w:rPr>
                <w:sz w:val="24"/>
                <w:szCs w:val="24"/>
                <w:lang w:eastAsia="ru-RU"/>
              </w:rPr>
              <w:t xml:space="preserve"> гильзы протеза бедра модульного,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голени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вспененных материалов.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60 дней</w:t>
            </w:r>
          </w:p>
        </w:tc>
      </w:tr>
      <w:tr w:rsidR="001C3BD2" w:rsidRPr="001C3BD2" w:rsidTr="00692158">
        <w:trPr>
          <w:trHeight w:val="140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F2" w:rsidRDefault="006049F2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b/>
                <w:sz w:val="24"/>
                <w:szCs w:val="24"/>
                <w:lang w:eastAsia="ru-RU"/>
              </w:rPr>
              <w:t>КТРУ:</w:t>
            </w:r>
            <w:r w:rsidRPr="0006554D">
              <w:rPr>
                <w:sz w:val="24"/>
                <w:szCs w:val="24"/>
                <w:lang w:eastAsia="ru-RU"/>
              </w:rPr>
              <w:t xml:space="preserve"> 33.19.10.000-00000002</w:t>
            </w:r>
            <w:r w:rsidRPr="006049F2">
              <w:rPr>
                <w:sz w:val="24"/>
                <w:szCs w:val="24"/>
                <w:lang w:eastAsia="ru-RU"/>
              </w:rPr>
              <w:t>- Услуги по ремонту прочего оборудования</w:t>
            </w:r>
          </w:p>
          <w:p w:rsidR="00F179DD" w:rsidRPr="00F179DD" w:rsidRDefault="006049F2" w:rsidP="0006554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49F2">
              <w:rPr>
                <w:sz w:val="24"/>
                <w:szCs w:val="24"/>
                <w:lang w:eastAsia="ru-RU"/>
              </w:rPr>
              <w:t xml:space="preserve">КОЗ: </w:t>
            </w:r>
            <w:r w:rsidRPr="006049F2">
              <w:rPr>
                <w:b/>
                <w:sz w:val="24"/>
                <w:szCs w:val="24"/>
                <w:lang w:eastAsia="ru-RU"/>
              </w:rPr>
              <w:t>02.34.01.0</w:t>
            </w:r>
            <w:r w:rsidR="00F179DD" w:rsidRPr="00F179DD">
              <w:rPr>
                <w:b/>
                <w:sz w:val="24"/>
                <w:szCs w:val="24"/>
                <w:lang w:eastAsia="ru-RU"/>
              </w:rPr>
              <w:t>2</w:t>
            </w:r>
          </w:p>
          <w:p w:rsidR="006049F2" w:rsidRDefault="006049F2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sz w:val="24"/>
                <w:szCs w:val="24"/>
                <w:lang w:eastAsia="ru-RU"/>
              </w:rPr>
              <w:t>Ремонт технических средств реабилитации, включая протезно-ортопедические изделия</w:t>
            </w:r>
          </w:p>
          <w:p w:rsidR="006049F2" w:rsidRPr="006049F2" w:rsidRDefault="006049F2" w:rsidP="006049F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49F2">
              <w:rPr>
                <w:b/>
                <w:sz w:val="24"/>
                <w:szCs w:val="24"/>
                <w:lang w:eastAsia="ru-RU"/>
              </w:rPr>
              <w:t>Классификация:</w:t>
            </w:r>
          </w:p>
          <w:p w:rsidR="006049F2" w:rsidRDefault="006049F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sz w:val="24"/>
                <w:szCs w:val="24"/>
                <w:lang w:eastAsia="ru-RU"/>
              </w:rPr>
              <w:t>24-01-01</w:t>
            </w:r>
          </w:p>
          <w:p w:rsidR="001C3BD2" w:rsidRPr="001C3BD2" w:rsidRDefault="001C3BD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Ремонт протеза</w:t>
            </w:r>
          </w:p>
          <w:p w:rsidR="0006554D" w:rsidRPr="0006554D" w:rsidRDefault="001C3BD2" w:rsidP="000655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бедра модульного, в том числе при врожденном недоразвитии                 </w:t>
            </w:r>
          </w:p>
          <w:p w:rsidR="001C3BD2" w:rsidRPr="001C3BD2" w:rsidRDefault="001C3BD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D2" w:rsidRPr="001C3BD2" w:rsidRDefault="001C3BD2" w:rsidP="001C3B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1C3BD2">
              <w:rPr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1C3BD2">
              <w:rPr>
                <w:sz w:val="24"/>
                <w:szCs w:val="24"/>
                <w:lang w:eastAsia="ru-RU"/>
              </w:rPr>
              <w:t xml:space="preserve"> гильзы протеза бедра модульного,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 с креплением полимерным чехлом с замком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эластичного термопласта.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60 дней</w:t>
            </w:r>
          </w:p>
        </w:tc>
      </w:tr>
      <w:tr w:rsidR="001C3BD2" w:rsidRPr="001C3BD2" w:rsidTr="006049F2">
        <w:trPr>
          <w:trHeight w:val="843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F2" w:rsidRPr="006049F2" w:rsidRDefault="006049F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b/>
                <w:sz w:val="24"/>
                <w:szCs w:val="24"/>
                <w:lang w:eastAsia="ru-RU"/>
              </w:rPr>
              <w:t>КТРУ:</w:t>
            </w:r>
            <w:r w:rsidRPr="006049F2">
              <w:rPr>
                <w:sz w:val="24"/>
                <w:szCs w:val="24"/>
                <w:lang w:eastAsia="ru-RU"/>
              </w:rPr>
              <w:t xml:space="preserve"> 33.19.10.000-00000002- Услуги по ремонту прочего оборудования</w:t>
            </w:r>
          </w:p>
          <w:p w:rsidR="006049F2" w:rsidRDefault="006049F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sz w:val="24"/>
                <w:szCs w:val="24"/>
                <w:lang w:eastAsia="ru-RU"/>
              </w:rPr>
              <w:t xml:space="preserve">КОЗ: </w:t>
            </w:r>
            <w:r w:rsidRPr="006049F2">
              <w:rPr>
                <w:b/>
                <w:sz w:val="24"/>
                <w:szCs w:val="24"/>
                <w:lang w:eastAsia="ru-RU"/>
              </w:rPr>
              <w:t>02.34.01.0</w:t>
            </w:r>
            <w:r w:rsidR="00F179DD" w:rsidRPr="00F179DD">
              <w:rPr>
                <w:b/>
                <w:sz w:val="24"/>
                <w:szCs w:val="24"/>
                <w:lang w:eastAsia="ru-RU"/>
              </w:rPr>
              <w:t>2</w:t>
            </w:r>
            <w:r w:rsidRPr="006049F2">
              <w:rPr>
                <w:sz w:val="24"/>
                <w:szCs w:val="24"/>
                <w:lang w:eastAsia="ru-RU"/>
              </w:rPr>
              <w:t xml:space="preserve"> Ремонт технических средств реабилитации, включая протезно-ортопедические </w:t>
            </w:r>
          </w:p>
          <w:p w:rsidR="006049F2" w:rsidRPr="006049F2" w:rsidRDefault="006049F2" w:rsidP="006049F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49F2">
              <w:rPr>
                <w:b/>
                <w:sz w:val="24"/>
                <w:szCs w:val="24"/>
                <w:lang w:eastAsia="ru-RU"/>
              </w:rPr>
              <w:t>Классификация:</w:t>
            </w:r>
          </w:p>
          <w:p w:rsidR="006049F2" w:rsidRDefault="006049F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49F2">
              <w:rPr>
                <w:sz w:val="24"/>
                <w:szCs w:val="24"/>
                <w:lang w:eastAsia="ru-RU"/>
              </w:rPr>
              <w:t>24-01-01</w:t>
            </w:r>
          </w:p>
          <w:p w:rsidR="001C3BD2" w:rsidRPr="001C3BD2" w:rsidRDefault="001C3BD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>Ремонт протеза бедра модульного с микропроцессорным управлением</w:t>
            </w:r>
          </w:p>
          <w:p w:rsidR="001C3BD2" w:rsidRPr="001C3BD2" w:rsidRDefault="001C3BD2" w:rsidP="006049F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BD2" w:rsidRPr="001C3BD2" w:rsidRDefault="001C3BD2" w:rsidP="001C3B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1C3BD2">
              <w:rPr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1C3BD2">
              <w:rPr>
                <w:sz w:val="24"/>
                <w:szCs w:val="24"/>
                <w:lang w:eastAsia="ru-RU"/>
              </w:rPr>
              <w:t xml:space="preserve"> гильзы протеза бедра модульного с микропроцессорным управлением,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 с креплением полимерным чехлом с замком индивидуальная по гипсовому слепку с культи пациента, с изготовлением тестовой гильзы. Материал примерочной приемной гильзы – высокотемпературный моделируемый термопласт. Материал постоянной приемной гильзы - литьевой слоистый пластик на основе полимерных смол, с силовыми элементами из </w:t>
            </w:r>
            <w:r w:rsidRPr="001C3BD2">
              <w:rPr>
                <w:sz w:val="24"/>
                <w:szCs w:val="24"/>
                <w:lang w:eastAsia="ru-RU"/>
              </w:rPr>
              <w:lastRenderedPageBreak/>
              <w:t>углеродного волокна, вкладная гильза постоянного протеза из эластичного термопласта.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1C3BD2" w:rsidRDefault="001C3BD2" w:rsidP="001C3B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D2">
              <w:rPr>
                <w:sz w:val="24"/>
                <w:szCs w:val="24"/>
                <w:lang w:eastAsia="ru-RU"/>
              </w:rPr>
              <w:lastRenderedPageBreak/>
              <w:t>4 мес.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D2" w:rsidRPr="00333956" w:rsidRDefault="001C3BD2" w:rsidP="00333956">
            <w:pPr>
              <w:pStyle w:val="ac"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956">
              <w:rPr>
                <w:sz w:val="24"/>
                <w:szCs w:val="24"/>
                <w:lang w:eastAsia="ru-RU"/>
              </w:rPr>
              <w:t>ней</w:t>
            </w:r>
          </w:p>
        </w:tc>
      </w:tr>
    </w:tbl>
    <w:p w:rsidR="001C3BD2" w:rsidRPr="001C3BD2" w:rsidRDefault="001C3BD2" w:rsidP="001C3BD2">
      <w:pPr>
        <w:autoSpaceDN w:val="0"/>
        <w:jc w:val="center"/>
        <w:textAlignment w:val="baseline"/>
        <w:rPr>
          <w:rFonts w:eastAsia="Tahoma"/>
          <w:b/>
          <w:spacing w:val="-7"/>
          <w:kern w:val="3"/>
          <w:sz w:val="24"/>
          <w:szCs w:val="24"/>
          <w:lang w:eastAsia="zh-CN" w:bidi="hi-IN"/>
        </w:rPr>
      </w:pPr>
    </w:p>
    <w:p w:rsidR="001C3BD2" w:rsidRPr="001C3BD2" w:rsidRDefault="001C3BD2" w:rsidP="001C3BD2">
      <w:pPr>
        <w:suppressAutoHyphens w:val="0"/>
        <w:ind w:left="426" w:right="-81" w:firstLine="567"/>
        <w:jc w:val="both"/>
        <w:rPr>
          <w:sz w:val="24"/>
          <w:szCs w:val="24"/>
          <w:lang w:eastAsia="ru-RU"/>
        </w:rPr>
      </w:pPr>
      <w:r w:rsidRPr="001C3BD2">
        <w:rPr>
          <w:b/>
          <w:lang w:eastAsia="ru-RU"/>
        </w:rPr>
        <w:t xml:space="preserve"> </w:t>
      </w:r>
    </w:p>
    <w:p w:rsidR="001C3BD2" w:rsidRPr="001C3BD2" w:rsidRDefault="00333956" w:rsidP="00A83C3A">
      <w:pPr>
        <w:widowControl w:val="0"/>
        <w:shd w:val="clear" w:color="auto" w:fill="FFFFFF"/>
        <w:suppressAutoHyphens w:val="0"/>
        <w:ind w:left="284" w:firstLine="424"/>
        <w:jc w:val="both"/>
        <w:rPr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en-US"/>
        </w:rPr>
        <w:t xml:space="preserve">2. </w:t>
      </w:r>
      <w:r w:rsidR="001C3BD2" w:rsidRPr="001C3BD2">
        <w:rPr>
          <w:rFonts w:eastAsia="Calibri"/>
          <w:b/>
          <w:sz w:val="24"/>
          <w:szCs w:val="24"/>
          <w:lang w:eastAsia="en-US"/>
        </w:rPr>
        <w:t xml:space="preserve">Условия </w:t>
      </w:r>
      <w:r w:rsidR="009A4FAB">
        <w:rPr>
          <w:rFonts w:eastAsia="Calibri"/>
          <w:b/>
          <w:sz w:val="24"/>
          <w:szCs w:val="24"/>
          <w:lang w:eastAsia="en-US"/>
        </w:rPr>
        <w:t>оказания услуг</w:t>
      </w:r>
      <w:r w:rsidR="001C3BD2" w:rsidRPr="001C3BD2">
        <w:rPr>
          <w:rFonts w:eastAsia="Calibri"/>
          <w:b/>
          <w:sz w:val="24"/>
          <w:szCs w:val="24"/>
          <w:lang w:eastAsia="en-US"/>
        </w:rPr>
        <w:t xml:space="preserve">: </w:t>
      </w:r>
      <w:r w:rsidR="001C3BD2" w:rsidRPr="001C3BD2">
        <w:rPr>
          <w:sz w:val="24"/>
          <w:szCs w:val="24"/>
          <w:lang w:eastAsia="ru-RU"/>
        </w:rPr>
        <w:t xml:space="preserve">Ремонт изделия, предоставленного инвалиду в соответствии с </w:t>
      </w:r>
      <w:r w:rsidR="00A83C3A">
        <w:rPr>
          <w:sz w:val="24"/>
          <w:szCs w:val="24"/>
          <w:lang w:eastAsia="ru-RU"/>
        </w:rPr>
        <w:t xml:space="preserve">        </w:t>
      </w:r>
      <w:r w:rsidR="001C3BD2" w:rsidRPr="001C3BD2">
        <w:rPr>
          <w:sz w:val="24"/>
          <w:szCs w:val="24"/>
          <w:lang w:eastAsia="ru-RU"/>
        </w:rPr>
        <w:t>действующим законодательством Российской Федерации, требующего по заявлению инвалида ремонта и подлежащего ремонту по заключению медико-технической экспертизы.</w:t>
      </w:r>
    </w:p>
    <w:p w:rsidR="001C3BD2" w:rsidRPr="001C3BD2" w:rsidRDefault="009A4FAB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Услуги</w:t>
      </w:r>
      <w:r w:rsidR="001C3BD2" w:rsidRPr="001C3BD2">
        <w:rPr>
          <w:sz w:val="24"/>
          <w:szCs w:val="24"/>
          <w:lang w:eastAsia="ru-RU"/>
        </w:rPr>
        <w:t xml:space="preserve"> по ремонту протезов нижних конечностей, которые прекратили удовлетворять необходимым медико-техническим характеристикам ввиду изменения </w:t>
      </w:r>
      <w:proofErr w:type="gramStart"/>
      <w:r w:rsidR="001C3BD2" w:rsidRPr="001C3BD2">
        <w:rPr>
          <w:sz w:val="24"/>
          <w:szCs w:val="24"/>
          <w:lang w:eastAsia="ru-RU"/>
        </w:rPr>
        <w:t>медико-социальных</w:t>
      </w:r>
      <w:proofErr w:type="gramEnd"/>
      <w:r w:rsidR="001C3BD2" w:rsidRPr="001C3BD2">
        <w:rPr>
          <w:sz w:val="24"/>
          <w:szCs w:val="24"/>
          <w:lang w:eastAsia="ru-RU"/>
        </w:rPr>
        <w:t xml:space="preserve"> показателей получателя, либо выхода из строя узлов/деталей изделия (существенного снижения их рабочих способностей), направлены на устранение выявленных в ходе эксплуатации изделия дефектов, не являющихся недостатками, в отношении которых изготовитель осуществляет гарантийное обслуживание. В зависимости от причин возникновения дефектов изделия, недостатки классифицируются как технические (поломка, либо снижение несущей способности изделия, либо его узлов, частей), так и </w:t>
      </w:r>
      <w:proofErr w:type="gramStart"/>
      <w:r w:rsidR="001C3BD2" w:rsidRPr="001C3BD2">
        <w:rPr>
          <w:sz w:val="24"/>
          <w:szCs w:val="24"/>
          <w:lang w:eastAsia="ru-RU"/>
        </w:rPr>
        <w:t>медико-социальные</w:t>
      </w:r>
      <w:proofErr w:type="gramEnd"/>
      <w:r w:rsidR="001C3BD2" w:rsidRPr="001C3BD2">
        <w:rPr>
          <w:sz w:val="24"/>
          <w:szCs w:val="24"/>
          <w:lang w:eastAsia="ru-RU"/>
        </w:rPr>
        <w:t xml:space="preserve"> (изменение параметров культи инвалида, характера двигательных функций). Отремонтированный функциональный узел протеза, обеспечивает выполнение заданной опорно-двигательной функции и имеет конструктивно-технологическую завершенность.</w:t>
      </w:r>
    </w:p>
    <w:p w:rsidR="001C3BD2" w:rsidRPr="001C3BD2" w:rsidRDefault="001C3BD2" w:rsidP="001C3BD2">
      <w:pPr>
        <w:shd w:val="clear" w:color="auto" w:fill="FFFFFF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 w:rsidRPr="001C3BD2">
        <w:rPr>
          <w:sz w:val="24"/>
          <w:szCs w:val="24"/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1C3BD2">
        <w:rPr>
          <w:sz w:val="24"/>
          <w:szCs w:val="24"/>
          <w:lang w:eastAsia="ru-RU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1C3BD2" w:rsidRPr="001C3BD2" w:rsidRDefault="00333956" w:rsidP="001C3BD2">
      <w:pPr>
        <w:widowControl w:val="0"/>
        <w:shd w:val="clear" w:color="auto" w:fill="FFFFFF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1C3BD2" w:rsidRPr="001C3BD2">
        <w:rPr>
          <w:b/>
          <w:sz w:val="24"/>
          <w:szCs w:val="24"/>
          <w:lang w:eastAsia="ru-RU"/>
        </w:rPr>
        <w:t xml:space="preserve">. Требования к техническим и функциональным характеристикам </w:t>
      </w:r>
      <w:r w:rsidR="009A4FAB">
        <w:rPr>
          <w:b/>
          <w:sz w:val="24"/>
          <w:szCs w:val="24"/>
          <w:lang w:eastAsia="ru-RU"/>
        </w:rPr>
        <w:t>оказания услуг</w:t>
      </w:r>
      <w:r w:rsidR="001C3BD2" w:rsidRPr="001C3BD2">
        <w:rPr>
          <w:b/>
          <w:sz w:val="24"/>
          <w:szCs w:val="24"/>
          <w:lang w:eastAsia="ru-RU"/>
        </w:rPr>
        <w:t xml:space="preserve">: </w:t>
      </w:r>
    </w:p>
    <w:p w:rsidR="001C3BD2" w:rsidRPr="001C3BD2" w:rsidRDefault="001C3BD2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 w:rsidRPr="001C3BD2">
        <w:rPr>
          <w:sz w:val="24"/>
          <w:szCs w:val="24"/>
          <w:lang w:eastAsia="ru-RU"/>
        </w:rPr>
        <w:t xml:space="preserve">При </w:t>
      </w:r>
      <w:r w:rsidR="009A4FAB">
        <w:rPr>
          <w:sz w:val="24"/>
          <w:szCs w:val="24"/>
          <w:lang w:eastAsia="ru-RU"/>
        </w:rPr>
        <w:t>оказании услуг</w:t>
      </w:r>
      <w:r w:rsidRPr="001C3BD2">
        <w:rPr>
          <w:sz w:val="24"/>
          <w:szCs w:val="24"/>
          <w:lang w:eastAsia="ru-RU"/>
        </w:rPr>
        <w:t xml:space="preserve"> Исполнитель соблюдает требования следующих нормативных технических документов: ГОСТ </w:t>
      </w:r>
      <w:proofErr w:type="gramStart"/>
      <w:r w:rsidRPr="001C3BD2">
        <w:rPr>
          <w:sz w:val="24"/>
          <w:szCs w:val="24"/>
          <w:lang w:eastAsia="ru-RU"/>
        </w:rPr>
        <w:t>Р</w:t>
      </w:r>
      <w:proofErr w:type="gramEnd"/>
      <w:r w:rsidRPr="001C3BD2">
        <w:rPr>
          <w:sz w:val="24"/>
          <w:szCs w:val="24"/>
          <w:lang w:eastAsia="ru-RU"/>
        </w:rPr>
        <w:t xml:space="preserve"> ИСО 9999-2019; ГОСТ Р 51632-2021; ГОСТ Р ИСО 22523-2007; ГОСТ Р ИСО 13404-2010; ГОСТ Р 56137-2021; ГОСТ Р 51819-2022.</w:t>
      </w:r>
    </w:p>
    <w:p w:rsidR="001C3BD2" w:rsidRPr="001C3BD2" w:rsidRDefault="009A4FAB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Услуги</w:t>
      </w:r>
      <w:r w:rsidR="001C3BD2" w:rsidRPr="001C3BD2">
        <w:rPr>
          <w:sz w:val="24"/>
          <w:szCs w:val="24"/>
          <w:lang w:eastAsia="ru-RU"/>
        </w:rPr>
        <w:t xml:space="preserve"> должны соответствовать ГОСТ </w:t>
      </w:r>
      <w:proofErr w:type="gramStart"/>
      <w:r w:rsidR="001C3BD2" w:rsidRPr="001C3BD2">
        <w:rPr>
          <w:sz w:val="24"/>
          <w:szCs w:val="24"/>
          <w:lang w:eastAsia="ru-RU"/>
        </w:rPr>
        <w:t>Р</w:t>
      </w:r>
      <w:proofErr w:type="gramEnd"/>
      <w:r w:rsidR="001C3BD2" w:rsidRPr="001C3BD2">
        <w:rPr>
          <w:sz w:val="24"/>
          <w:szCs w:val="24"/>
          <w:lang w:eastAsia="ru-RU"/>
        </w:rPr>
        <w:t xml:space="preserve"> 53870-2021 «Услуги по протезированию нижних конечностей. Состав, содержание и порядок предоставления услуг».</w:t>
      </w:r>
    </w:p>
    <w:p w:rsidR="001C3BD2" w:rsidRPr="001C3BD2" w:rsidRDefault="001C3BD2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 w:rsidRPr="001C3BD2">
        <w:rPr>
          <w:sz w:val="24"/>
          <w:szCs w:val="24"/>
          <w:lang w:eastAsia="ru-RU"/>
        </w:rPr>
        <w:t xml:space="preserve">Материалы, используемые </w:t>
      </w:r>
      <w:r w:rsidR="009A4FAB">
        <w:rPr>
          <w:sz w:val="24"/>
          <w:szCs w:val="24"/>
          <w:lang w:eastAsia="ru-RU"/>
        </w:rPr>
        <w:t xml:space="preserve">при </w:t>
      </w:r>
      <w:proofErr w:type="gramStart"/>
      <w:r w:rsidR="009A4FAB">
        <w:rPr>
          <w:sz w:val="24"/>
          <w:szCs w:val="24"/>
          <w:lang w:eastAsia="ru-RU"/>
        </w:rPr>
        <w:t>оказании</w:t>
      </w:r>
      <w:proofErr w:type="gramEnd"/>
      <w:r w:rsidR="009A4FAB">
        <w:rPr>
          <w:sz w:val="24"/>
          <w:szCs w:val="24"/>
          <w:lang w:eastAsia="ru-RU"/>
        </w:rPr>
        <w:t xml:space="preserve"> услуг</w:t>
      </w:r>
      <w:r w:rsidRPr="001C3BD2">
        <w:rPr>
          <w:sz w:val="24"/>
          <w:szCs w:val="24"/>
          <w:lang w:eastAsia="ru-RU"/>
        </w:rPr>
        <w:t xml:space="preserve"> и контактирующие с телом получателя, должны обладать </w:t>
      </w:r>
      <w:proofErr w:type="spellStart"/>
      <w:r w:rsidRPr="001C3BD2">
        <w:rPr>
          <w:sz w:val="24"/>
          <w:szCs w:val="24"/>
          <w:lang w:eastAsia="ru-RU"/>
        </w:rPr>
        <w:t>биосовместимостью</w:t>
      </w:r>
      <w:proofErr w:type="spellEnd"/>
      <w:r w:rsidRPr="001C3BD2">
        <w:rPr>
          <w:sz w:val="24"/>
          <w:szCs w:val="24"/>
          <w:lang w:eastAsia="ru-RU"/>
        </w:rPr>
        <w:t xml:space="preserve"> с кожными покровами человека, не вызывать у него токсических и аллергических реакций в соответствии с требованиями ГОСТ </w:t>
      </w:r>
      <w:r w:rsidRPr="001C3BD2">
        <w:rPr>
          <w:sz w:val="24"/>
          <w:szCs w:val="24"/>
          <w:lang w:val="en-US" w:eastAsia="ru-RU"/>
        </w:rPr>
        <w:t>ISO</w:t>
      </w:r>
      <w:r w:rsidRPr="001C3BD2">
        <w:rPr>
          <w:sz w:val="24"/>
          <w:szCs w:val="24"/>
          <w:lang w:eastAsia="ru-RU"/>
        </w:rPr>
        <w:t xml:space="preserve"> 10993-1-2021, ГОСТ ISO 10993</w:t>
      </w:r>
      <w:r w:rsidR="00F8535A">
        <w:rPr>
          <w:sz w:val="24"/>
          <w:szCs w:val="24"/>
          <w:lang w:eastAsia="ru-RU"/>
        </w:rPr>
        <w:t>-5-2011, ГОСТ ISO 10993-10-2011</w:t>
      </w:r>
      <w:r w:rsidRPr="001C3BD2">
        <w:rPr>
          <w:sz w:val="24"/>
          <w:szCs w:val="24"/>
          <w:lang w:eastAsia="ru-RU"/>
        </w:rPr>
        <w:t>.</w:t>
      </w:r>
    </w:p>
    <w:p w:rsidR="001C3BD2" w:rsidRPr="001C3BD2" w:rsidRDefault="001C3BD2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 w:rsidRPr="001C3BD2">
        <w:rPr>
          <w:sz w:val="24"/>
          <w:szCs w:val="24"/>
          <w:lang w:eastAsia="ru-RU"/>
        </w:rPr>
        <w:t xml:space="preserve">Прием Получателей, снятие мерок, слепков, примерки, обучение пользованию и выдача готовых к эксплуатации изделий осуществляется, в том числе, в условиях специализированного стационара. </w:t>
      </w:r>
    </w:p>
    <w:p w:rsidR="001C3BD2" w:rsidRPr="001C3BD2" w:rsidRDefault="001C3BD2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proofErr w:type="gramStart"/>
      <w:r w:rsidRPr="001C3BD2">
        <w:rPr>
          <w:sz w:val="24"/>
          <w:szCs w:val="24"/>
          <w:lang w:eastAsia="ru-RU"/>
        </w:rPr>
        <w:t xml:space="preserve">Качество </w:t>
      </w:r>
      <w:r w:rsidR="009A4FAB">
        <w:rPr>
          <w:sz w:val="24"/>
          <w:szCs w:val="24"/>
          <w:lang w:eastAsia="ru-RU"/>
        </w:rPr>
        <w:t>услуг</w:t>
      </w:r>
      <w:r w:rsidRPr="001C3BD2">
        <w:rPr>
          <w:sz w:val="24"/>
          <w:szCs w:val="24"/>
          <w:lang w:eastAsia="ru-RU"/>
        </w:rPr>
        <w:t xml:space="preserve">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</w:t>
      </w:r>
      <w:r w:rsidR="009A4FAB">
        <w:rPr>
          <w:sz w:val="24"/>
          <w:szCs w:val="24"/>
          <w:lang w:eastAsia="ru-RU"/>
        </w:rPr>
        <w:t xml:space="preserve"> </w:t>
      </w:r>
      <w:r w:rsidRPr="001C3BD2">
        <w:rPr>
          <w:sz w:val="24"/>
          <w:szCs w:val="24"/>
          <w:lang w:eastAsia="ru-RU"/>
        </w:rPr>
        <w:t>(услуг) при оказании первичной специализированной медико-санитарной помощи в амбулаторных условиях по травматологии и ортопедии на территории Ямало-Ненецкого автономного округа, согласно Перечню работ (услуг), составляющих медицинскую деятельность, утвержденному Постановлением Правительства РФ от 01.06.2021 N 852 "О лицензировании медицинской деятельности (за исключением</w:t>
      </w:r>
      <w:proofErr w:type="gramEnd"/>
      <w:r w:rsidRPr="001C3BD2">
        <w:rPr>
          <w:sz w:val="24"/>
          <w:szCs w:val="24"/>
          <w:lang w:eastAsia="ru-RU"/>
        </w:rPr>
        <w:t xml:space="preserve">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C3BD2">
        <w:rPr>
          <w:sz w:val="24"/>
          <w:szCs w:val="24"/>
          <w:lang w:eastAsia="ru-RU"/>
        </w:rPr>
        <w:t>Сколково</w:t>
      </w:r>
      <w:proofErr w:type="spellEnd"/>
      <w:r w:rsidRPr="001C3BD2">
        <w:rPr>
          <w:sz w:val="24"/>
          <w:szCs w:val="24"/>
          <w:lang w:eastAsia="ru-RU"/>
        </w:rPr>
        <w:t>") и признании утратившими силу некоторых актов Правительства Российской Федерации".</w:t>
      </w:r>
    </w:p>
    <w:p w:rsidR="001C3BD2" w:rsidRPr="001C3BD2" w:rsidRDefault="001C3BD2" w:rsidP="001C3BD2">
      <w:pPr>
        <w:widowControl w:val="0"/>
        <w:suppressAutoHyphens w:val="0"/>
        <w:ind w:left="284" w:firstLine="709"/>
        <w:jc w:val="both"/>
        <w:rPr>
          <w:sz w:val="24"/>
          <w:szCs w:val="24"/>
          <w:lang w:eastAsia="ru-RU"/>
        </w:rPr>
      </w:pPr>
      <w:r w:rsidRPr="001C3BD2">
        <w:rPr>
          <w:sz w:val="24"/>
          <w:szCs w:val="24"/>
          <w:lang w:eastAsia="ru-RU"/>
        </w:rPr>
        <w:t xml:space="preserve">Указанный документ требуется при </w:t>
      </w:r>
      <w:proofErr w:type="gramStart"/>
      <w:r w:rsidRPr="001C3BD2">
        <w:rPr>
          <w:sz w:val="24"/>
          <w:szCs w:val="24"/>
          <w:lang w:eastAsia="ru-RU"/>
        </w:rPr>
        <w:t>условии</w:t>
      </w:r>
      <w:proofErr w:type="gramEnd"/>
      <w:r w:rsidRPr="001C3BD2">
        <w:rPr>
          <w:sz w:val="24"/>
          <w:szCs w:val="24"/>
          <w:lang w:eastAsia="ru-RU"/>
        </w:rPr>
        <w:t xml:space="preserve"> самостоятельного исполнения участником закупки осуществляющего осмотр получателя и выбор конструкции протезно-ортопедического изделия. В случае непредставления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 </w:t>
      </w:r>
    </w:p>
    <w:p w:rsidR="001C3BD2" w:rsidRPr="001C3BD2" w:rsidRDefault="00333956" w:rsidP="001C3BD2">
      <w:pPr>
        <w:widowControl w:val="0"/>
        <w:suppressAutoHyphens w:val="0"/>
        <w:ind w:left="284" w:firstLine="709"/>
        <w:jc w:val="both"/>
        <w:rPr>
          <w:bCs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1C3BD2" w:rsidRPr="001C3BD2">
        <w:rPr>
          <w:rFonts w:eastAsia="Calibri"/>
          <w:b/>
          <w:sz w:val="24"/>
          <w:szCs w:val="24"/>
          <w:lang w:eastAsia="en-US"/>
        </w:rPr>
        <w:t xml:space="preserve">. Гарантийный срок: </w:t>
      </w:r>
      <w:r w:rsidR="001C3BD2" w:rsidRPr="001C3BD2">
        <w:rPr>
          <w:rFonts w:eastAsia="Calibri"/>
          <w:sz w:val="24"/>
          <w:szCs w:val="24"/>
          <w:lang w:eastAsia="en-US"/>
        </w:rPr>
        <w:t xml:space="preserve">Гарантийный срок на результат </w:t>
      </w:r>
      <w:r w:rsidR="009A4FAB">
        <w:rPr>
          <w:rFonts w:eastAsia="Calibri"/>
          <w:sz w:val="24"/>
          <w:szCs w:val="24"/>
          <w:lang w:eastAsia="en-US"/>
        </w:rPr>
        <w:t>оказанных услуг</w:t>
      </w:r>
      <w:r w:rsidR="001C3BD2" w:rsidRPr="001C3BD2">
        <w:rPr>
          <w:rFonts w:eastAsia="Calibri"/>
          <w:sz w:val="24"/>
          <w:szCs w:val="24"/>
          <w:lang w:eastAsia="en-US"/>
        </w:rPr>
        <w:t xml:space="preserve"> указан в </w:t>
      </w:r>
      <w:r>
        <w:rPr>
          <w:rFonts w:eastAsia="Calibri"/>
          <w:sz w:val="24"/>
          <w:szCs w:val="24"/>
          <w:lang w:eastAsia="en-US"/>
        </w:rPr>
        <w:t>пункте № 1 настоящего Технического задания</w:t>
      </w:r>
      <w:r w:rsidR="001C3BD2" w:rsidRPr="001C3BD2">
        <w:rPr>
          <w:rFonts w:eastAsia="Calibri"/>
          <w:sz w:val="24"/>
          <w:szCs w:val="24"/>
          <w:lang w:eastAsia="en-US"/>
        </w:rPr>
        <w:t xml:space="preserve">, при условии правильной эксплуатации протезно-ортопедического изделия инвалидом, и начинает исчисляться со дня, следующего за днем </w:t>
      </w:r>
      <w:r w:rsidR="001C3BD2" w:rsidRPr="001C3BD2">
        <w:rPr>
          <w:rFonts w:eastAsia="Calibri"/>
          <w:sz w:val="24"/>
          <w:szCs w:val="24"/>
          <w:lang w:eastAsia="en-US"/>
        </w:rPr>
        <w:lastRenderedPageBreak/>
        <w:t>выдачи отремонтированного изделия инвалиду.</w:t>
      </w:r>
    </w:p>
    <w:p w:rsidR="001C3BD2" w:rsidRPr="001C3BD2" w:rsidRDefault="001C3BD2" w:rsidP="001C3BD2">
      <w:pPr>
        <w:suppressAutoHyphens w:val="0"/>
        <w:ind w:left="284" w:firstLine="709"/>
        <w:jc w:val="both"/>
        <w:rPr>
          <w:bCs/>
          <w:sz w:val="24"/>
          <w:szCs w:val="24"/>
          <w:lang w:eastAsia="ru-RU"/>
        </w:rPr>
      </w:pPr>
      <w:r w:rsidRPr="001C3BD2">
        <w:rPr>
          <w:bCs/>
          <w:sz w:val="24"/>
          <w:szCs w:val="24"/>
          <w:lang w:eastAsia="ru-RU"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1C3BD2" w:rsidRPr="001C3BD2" w:rsidRDefault="001C3BD2" w:rsidP="001C3BD2">
      <w:pPr>
        <w:suppressAutoHyphens w:val="0"/>
        <w:ind w:left="284" w:firstLine="709"/>
        <w:jc w:val="both"/>
        <w:rPr>
          <w:bCs/>
          <w:sz w:val="24"/>
          <w:szCs w:val="24"/>
          <w:lang w:eastAsia="ru-RU"/>
        </w:rPr>
      </w:pPr>
      <w:r w:rsidRPr="001C3BD2">
        <w:rPr>
          <w:bCs/>
          <w:sz w:val="24"/>
          <w:szCs w:val="24"/>
          <w:lang w:eastAsia="ru-RU"/>
        </w:rPr>
        <w:t>Гарантийный срок на силиконовые чехлы – должен быть не менее 6 месяцев, полимерные наколенники – не менее 3 месяцев со дня выдачи Получателю.</w:t>
      </w:r>
    </w:p>
    <w:p w:rsidR="001C3BD2" w:rsidRPr="001C3BD2" w:rsidRDefault="00333956" w:rsidP="001C3BD2">
      <w:pPr>
        <w:shd w:val="clear" w:color="auto" w:fill="FFFFFF"/>
        <w:suppressAutoHyphens w:val="0"/>
        <w:ind w:left="284"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</w:t>
      </w:r>
      <w:r w:rsidR="001C3BD2" w:rsidRPr="001C3BD2">
        <w:rPr>
          <w:b/>
          <w:sz w:val="24"/>
          <w:szCs w:val="24"/>
          <w:lang w:eastAsia="ru-RU"/>
        </w:rPr>
        <w:t>. Требования к гарантии:</w:t>
      </w:r>
      <w:r w:rsidR="001C3BD2" w:rsidRPr="001C3BD2">
        <w:rPr>
          <w:sz w:val="24"/>
          <w:szCs w:val="24"/>
          <w:lang w:eastAsia="ru-RU"/>
        </w:rPr>
        <w:t xml:space="preserve"> Исполнитель гарантирует, что </w:t>
      </w:r>
      <w:r w:rsidR="009A4FAB">
        <w:rPr>
          <w:sz w:val="24"/>
          <w:szCs w:val="24"/>
          <w:lang w:eastAsia="ru-RU"/>
        </w:rPr>
        <w:t>услуги</w:t>
      </w:r>
      <w:r w:rsidR="001C3BD2" w:rsidRPr="001C3BD2">
        <w:rPr>
          <w:sz w:val="24"/>
          <w:szCs w:val="24"/>
          <w:lang w:eastAsia="ru-RU"/>
        </w:rPr>
        <w:t xml:space="preserve"> </w:t>
      </w:r>
      <w:r w:rsidR="009A4FAB">
        <w:rPr>
          <w:sz w:val="24"/>
          <w:szCs w:val="24"/>
          <w:lang w:eastAsia="ru-RU"/>
        </w:rPr>
        <w:t>оказыва</w:t>
      </w:r>
      <w:r w:rsidR="001C3BD2" w:rsidRPr="001C3BD2">
        <w:rPr>
          <w:sz w:val="24"/>
          <w:szCs w:val="24"/>
          <w:lang w:eastAsia="ru-RU"/>
        </w:rPr>
        <w:t>ются с надлежащим качеством, не имеют дефектов, связанных с разработкой, материалами,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C3BD2" w:rsidRPr="001C3BD2" w:rsidRDefault="001C3BD2" w:rsidP="001C3BD2">
      <w:pPr>
        <w:tabs>
          <w:tab w:val="left" w:pos="-3840"/>
        </w:tabs>
        <w:suppressAutoHyphens w:val="0"/>
        <w:ind w:left="284" w:firstLine="709"/>
        <w:jc w:val="both"/>
        <w:rPr>
          <w:sz w:val="24"/>
          <w:szCs w:val="24"/>
          <w:lang w:eastAsia="ru-RU"/>
        </w:rPr>
      </w:pPr>
      <w:r w:rsidRPr="001C3BD2">
        <w:rPr>
          <w:snapToGrid w:val="0"/>
          <w:sz w:val="24"/>
          <w:szCs w:val="24"/>
          <w:lang w:eastAsia="ru-RU"/>
        </w:rPr>
        <w:t xml:space="preserve">Гарантия действительна </w:t>
      </w:r>
      <w:r w:rsidRPr="001C3BD2">
        <w:rPr>
          <w:sz w:val="24"/>
          <w:szCs w:val="24"/>
          <w:lang w:eastAsia="ru-RU"/>
        </w:rPr>
        <w:t xml:space="preserve">после подписания </w:t>
      </w:r>
      <w:r w:rsidR="00A83C3A" w:rsidRPr="00A83C3A">
        <w:rPr>
          <w:sz w:val="24"/>
          <w:szCs w:val="24"/>
          <w:lang w:eastAsia="ru-RU"/>
        </w:rPr>
        <w:t xml:space="preserve">Акта сдачи-приемки оказанных услуг </w:t>
      </w:r>
      <w:bookmarkStart w:id="0" w:name="_GoBack"/>
      <w:bookmarkEnd w:id="0"/>
      <w:r w:rsidRPr="001C3BD2">
        <w:rPr>
          <w:sz w:val="24"/>
          <w:szCs w:val="24"/>
          <w:lang w:eastAsia="ru-RU"/>
        </w:rPr>
        <w:t xml:space="preserve">(в течение гарантийного срока). Текущее обслуживание результата </w:t>
      </w:r>
      <w:r w:rsidR="009A4FAB">
        <w:rPr>
          <w:sz w:val="24"/>
          <w:szCs w:val="24"/>
          <w:lang w:eastAsia="ru-RU"/>
        </w:rPr>
        <w:t>оказанных услуг</w:t>
      </w:r>
      <w:r w:rsidRPr="001C3BD2">
        <w:rPr>
          <w:sz w:val="24"/>
          <w:szCs w:val="24"/>
          <w:lang w:eastAsia="ru-RU"/>
        </w:rPr>
        <w:t xml:space="preserve"> производится Получателем в соответствии с инструкцией по эксплуатации. Если результат </w:t>
      </w:r>
      <w:r w:rsidR="009A4FAB" w:rsidRPr="009A4FAB">
        <w:rPr>
          <w:sz w:val="24"/>
          <w:szCs w:val="24"/>
          <w:lang w:eastAsia="ru-RU"/>
        </w:rPr>
        <w:t>оказанных услуг</w:t>
      </w:r>
      <w:r w:rsidRPr="001C3BD2">
        <w:rPr>
          <w:sz w:val="24"/>
          <w:szCs w:val="24"/>
          <w:lang w:eastAsia="ru-RU"/>
        </w:rPr>
        <w:t xml:space="preserve">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1C3BD2" w:rsidRPr="001C3BD2" w:rsidRDefault="00333956" w:rsidP="001C3BD2">
      <w:pPr>
        <w:suppressAutoHyphens w:val="0"/>
        <w:ind w:left="284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6</w:t>
      </w:r>
      <w:r w:rsidR="001C3BD2" w:rsidRPr="001C3BD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Требования к качеству </w:t>
      </w:r>
      <w:r w:rsidR="009A4FAB">
        <w:rPr>
          <w:rFonts w:eastAsia="Calibri"/>
          <w:b/>
          <w:bCs/>
          <w:color w:val="000000"/>
          <w:sz w:val="24"/>
          <w:szCs w:val="24"/>
          <w:lang w:eastAsia="en-US"/>
        </w:rPr>
        <w:t>оказания услуг</w:t>
      </w:r>
      <w:r w:rsidR="001C3BD2" w:rsidRPr="001C3BD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: </w:t>
      </w:r>
      <w:r w:rsidR="009A4FAB">
        <w:rPr>
          <w:rFonts w:eastAsia="Calibri"/>
          <w:bCs/>
          <w:sz w:val="24"/>
          <w:szCs w:val="24"/>
          <w:lang w:eastAsia="en-US"/>
        </w:rPr>
        <w:t>Услуги</w:t>
      </w:r>
      <w:r w:rsidR="001C3BD2" w:rsidRPr="001C3BD2">
        <w:rPr>
          <w:rFonts w:eastAsia="Calibri"/>
          <w:bCs/>
          <w:sz w:val="24"/>
          <w:szCs w:val="24"/>
          <w:lang w:eastAsia="en-US"/>
        </w:rPr>
        <w:t xml:space="preserve"> по ремонту </w:t>
      </w:r>
      <w:r w:rsidR="001C3BD2" w:rsidRPr="001C3BD2">
        <w:rPr>
          <w:sz w:val="24"/>
          <w:szCs w:val="24"/>
          <w:lang w:eastAsia="ru-RU"/>
        </w:rPr>
        <w:t xml:space="preserve">протезов нижних конечностей </w:t>
      </w:r>
      <w:r w:rsidR="001C3BD2" w:rsidRPr="001C3BD2">
        <w:rPr>
          <w:rFonts w:eastAsia="Calibri"/>
          <w:bCs/>
          <w:sz w:val="24"/>
          <w:szCs w:val="24"/>
          <w:lang w:eastAsia="en-US"/>
        </w:rPr>
        <w:t>для инвалидов считаются надлежащим образом исполненными, если у инвалида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</w:t>
      </w:r>
    </w:p>
    <w:p w:rsidR="001C3BD2" w:rsidRPr="001C3BD2" w:rsidRDefault="001C3BD2" w:rsidP="001C3BD2">
      <w:pPr>
        <w:keepNext/>
        <w:suppressAutoHyphens w:val="0"/>
        <w:ind w:left="426" w:firstLine="567"/>
        <w:jc w:val="center"/>
        <w:rPr>
          <w:b/>
          <w:sz w:val="24"/>
          <w:szCs w:val="24"/>
          <w:lang w:eastAsia="ru-RU"/>
        </w:rPr>
      </w:pPr>
    </w:p>
    <w:p w:rsidR="00B50010" w:rsidRPr="00702F97" w:rsidRDefault="00B50010" w:rsidP="001C3BD2">
      <w:pPr>
        <w:pStyle w:val="a4"/>
        <w:jc w:val="center"/>
        <w:rPr>
          <w:sz w:val="22"/>
          <w:szCs w:val="22"/>
        </w:rPr>
      </w:pPr>
    </w:p>
    <w:sectPr w:rsidR="00B50010" w:rsidRPr="00702F97" w:rsidSect="001C3B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3A" w:rsidRDefault="00A83C3A" w:rsidP="00445E9D">
      <w:r>
        <w:separator/>
      </w:r>
    </w:p>
  </w:endnote>
  <w:endnote w:type="continuationSeparator" w:id="0">
    <w:p w:rsidR="00A83C3A" w:rsidRDefault="00A83C3A" w:rsidP="004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3A" w:rsidRDefault="00A83C3A" w:rsidP="00445E9D">
      <w:r>
        <w:separator/>
      </w:r>
    </w:p>
  </w:footnote>
  <w:footnote w:type="continuationSeparator" w:id="0">
    <w:p w:rsidR="00A83C3A" w:rsidRDefault="00A83C3A" w:rsidP="0044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348"/>
    <w:multiLevelType w:val="hybridMultilevel"/>
    <w:tmpl w:val="53D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B2A"/>
    <w:multiLevelType w:val="hybridMultilevel"/>
    <w:tmpl w:val="A95A60E4"/>
    <w:lvl w:ilvl="0" w:tplc="5BA6694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0C06"/>
    <w:multiLevelType w:val="hybridMultilevel"/>
    <w:tmpl w:val="1D521622"/>
    <w:lvl w:ilvl="0" w:tplc="8C78761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9"/>
    <w:rsid w:val="0006554D"/>
    <w:rsid w:val="00197C90"/>
    <w:rsid w:val="001C3BD2"/>
    <w:rsid w:val="00333956"/>
    <w:rsid w:val="00445E9D"/>
    <w:rsid w:val="005E0E46"/>
    <w:rsid w:val="006049F2"/>
    <w:rsid w:val="00616F04"/>
    <w:rsid w:val="00692158"/>
    <w:rsid w:val="006C6DBB"/>
    <w:rsid w:val="00702F97"/>
    <w:rsid w:val="00967160"/>
    <w:rsid w:val="009A4FAB"/>
    <w:rsid w:val="009C19E8"/>
    <w:rsid w:val="00A15DFC"/>
    <w:rsid w:val="00A31A6D"/>
    <w:rsid w:val="00A83C3A"/>
    <w:rsid w:val="00B50010"/>
    <w:rsid w:val="00BF6964"/>
    <w:rsid w:val="00C30A99"/>
    <w:rsid w:val="00C65FB8"/>
    <w:rsid w:val="00E25042"/>
    <w:rsid w:val="00E57607"/>
    <w:rsid w:val="00E868C0"/>
    <w:rsid w:val="00F06533"/>
    <w:rsid w:val="00F179DD"/>
    <w:rsid w:val="00F8535A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9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BF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69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BF6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qFormat/>
    <w:rsid w:val="00BF6964"/>
    <w:rPr>
      <w:rFonts w:ascii="Times New Roman" w:hAnsi="Times New Roman" w:cs="Times New Roman"/>
      <w:color w:val="000000"/>
      <w:sz w:val="26"/>
      <w:szCs w:val="26"/>
    </w:rPr>
  </w:style>
  <w:style w:type="character" w:customStyle="1" w:styleId="iceouttxt5">
    <w:name w:val="iceouttxt5"/>
    <w:rsid w:val="00BF6964"/>
    <w:rPr>
      <w:rFonts w:ascii="Arial" w:hAnsi="Arial" w:cs="Arial" w:hint="default"/>
      <w:color w:val="666666"/>
      <w:sz w:val="17"/>
      <w:szCs w:val="17"/>
    </w:rPr>
  </w:style>
  <w:style w:type="paragraph" w:styleId="a7">
    <w:name w:val="footnote text"/>
    <w:basedOn w:val="a"/>
    <w:link w:val="a8"/>
    <w:uiPriority w:val="99"/>
    <w:semiHidden/>
    <w:unhideWhenUsed/>
    <w:rsid w:val="00445E9D"/>
  </w:style>
  <w:style w:type="character" w:customStyle="1" w:styleId="a8">
    <w:name w:val="Текст сноски Знак"/>
    <w:basedOn w:val="a0"/>
    <w:link w:val="a7"/>
    <w:uiPriority w:val="99"/>
    <w:semiHidden/>
    <w:rsid w:val="00445E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445E9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4F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FA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3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9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BF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69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BF6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qFormat/>
    <w:rsid w:val="00BF6964"/>
    <w:rPr>
      <w:rFonts w:ascii="Times New Roman" w:hAnsi="Times New Roman" w:cs="Times New Roman"/>
      <w:color w:val="000000"/>
      <w:sz w:val="26"/>
      <w:szCs w:val="26"/>
    </w:rPr>
  </w:style>
  <w:style w:type="character" w:customStyle="1" w:styleId="iceouttxt5">
    <w:name w:val="iceouttxt5"/>
    <w:rsid w:val="00BF6964"/>
    <w:rPr>
      <w:rFonts w:ascii="Arial" w:hAnsi="Arial" w:cs="Arial" w:hint="default"/>
      <w:color w:val="666666"/>
      <w:sz w:val="17"/>
      <w:szCs w:val="17"/>
    </w:rPr>
  </w:style>
  <w:style w:type="paragraph" w:styleId="a7">
    <w:name w:val="footnote text"/>
    <w:basedOn w:val="a"/>
    <w:link w:val="a8"/>
    <w:uiPriority w:val="99"/>
    <w:semiHidden/>
    <w:unhideWhenUsed/>
    <w:rsid w:val="00445E9D"/>
  </w:style>
  <w:style w:type="character" w:customStyle="1" w:styleId="a8">
    <w:name w:val="Текст сноски Знак"/>
    <w:basedOn w:val="a0"/>
    <w:link w:val="a7"/>
    <w:uiPriority w:val="99"/>
    <w:semiHidden/>
    <w:rsid w:val="00445E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445E9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4F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FA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3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AE1E-2723-4F36-AE2E-015A9764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Шайдуллина Лилия Маратовна</cp:lastModifiedBy>
  <cp:revision>20</cp:revision>
  <cp:lastPrinted>2024-04-03T06:13:00Z</cp:lastPrinted>
  <dcterms:created xsi:type="dcterms:W3CDTF">2024-03-13T10:33:00Z</dcterms:created>
  <dcterms:modified xsi:type="dcterms:W3CDTF">2024-04-08T04:24:00Z</dcterms:modified>
</cp:coreProperties>
</file>