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F4" w:rsidRPr="00CC2DF4" w:rsidRDefault="00CC2DF4" w:rsidP="00CC2DF4">
      <w:pPr>
        <w:jc w:val="right"/>
      </w:pPr>
      <w:bookmarkStart w:id="0" w:name="_GoBack"/>
      <w:bookmarkEnd w:id="0"/>
      <w:r w:rsidRPr="00CC2DF4">
        <w:t xml:space="preserve">Приложение № 1 </w:t>
      </w:r>
    </w:p>
    <w:p w:rsidR="00CC2DF4" w:rsidRPr="00CC2DF4" w:rsidRDefault="00CC2DF4" w:rsidP="00CC2DF4">
      <w:pPr>
        <w:jc w:val="right"/>
      </w:pPr>
      <w:r w:rsidRPr="00CC2DF4">
        <w:t>к извещению о проведении закупки</w:t>
      </w:r>
    </w:p>
    <w:p w:rsidR="00002835" w:rsidRDefault="00002835" w:rsidP="00002835">
      <w:pPr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002835" w:rsidRDefault="00002835" w:rsidP="00002835">
      <w:pPr>
        <w:jc w:val="center"/>
        <w:rPr>
          <w:b/>
          <w:bCs/>
        </w:rPr>
      </w:pPr>
      <w:r>
        <w:rPr>
          <w:b/>
        </w:rPr>
        <w:t xml:space="preserve">на </w:t>
      </w:r>
      <w:r w:rsidRPr="00C67F0F">
        <w:rPr>
          <w:b/>
          <w:bCs/>
        </w:rPr>
        <w:t>поставку специальных средств при нарушениях функций выделения (</w:t>
      </w:r>
      <w:r w:rsidRPr="009507D5">
        <w:rPr>
          <w:b/>
          <w:bCs/>
        </w:rPr>
        <w:t xml:space="preserve">однокомпонентных дренируемых калоприемников со встроенной </w:t>
      </w:r>
      <w:proofErr w:type="spellStart"/>
      <w:r w:rsidRPr="009507D5">
        <w:rPr>
          <w:b/>
          <w:bCs/>
        </w:rPr>
        <w:t>конвексной</w:t>
      </w:r>
      <w:proofErr w:type="spellEnd"/>
      <w:r w:rsidRPr="009507D5">
        <w:rPr>
          <w:b/>
          <w:bCs/>
        </w:rPr>
        <w:t xml:space="preserve"> пластиной</w:t>
      </w:r>
      <w:r w:rsidRPr="00C67F0F">
        <w:rPr>
          <w:b/>
          <w:bCs/>
        </w:rPr>
        <w:t>)</w:t>
      </w:r>
      <w:r>
        <w:rPr>
          <w:b/>
          <w:bCs/>
        </w:rPr>
        <w:t xml:space="preserve"> (далее –Товар)</w:t>
      </w:r>
      <w:r w:rsidRPr="00C67F0F">
        <w:rPr>
          <w:b/>
          <w:bCs/>
        </w:rPr>
        <w:t xml:space="preserve"> для социального обеспечения граждан</w:t>
      </w:r>
      <w:r>
        <w:rPr>
          <w:b/>
          <w:bCs/>
        </w:rPr>
        <w:t xml:space="preserve"> (далее – Получатели)</w:t>
      </w:r>
      <w:r w:rsidRPr="00C67F0F">
        <w:rPr>
          <w:b/>
          <w:bCs/>
        </w:rPr>
        <w:t xml:space="preserve"> в 2024 году</w:t>
      </w:r>
    </w:p>
    <w:p w:rsidR="00002835" w:rsidRDefault="00002835" w:rsidP="00002835">
      <w:pPr>
        <w:jc w:val="center"/>
        <w:rPr>
          <w:b/>
          <w:bCs/>
        </w:rPr>
      </w:pPr>
    </w:p>
    <w:p w:rsidR="00002835" w:rsidRDefault="00002835" w:rsidP="00002835">
      <w:pPr>
        <w:jc w:val="both"/>
        <w:rPr>
          <w:rFonts w:eastAsia="Times New Roman"/>
        </w:rPr>
      </w:pPr>
      <w:r w:rsidRPr="002D22FA">
        <w:rPr>
          <w:rFonts w:eastAsia="Times New Roman"/>
          <w:b/>
        </w:rPr>
        <w:t>Срок поставки Товара Получателям:</w:t>
      </w:r>
      <w:r w:rsidRPr="00FC2515">
        <w:rPr>
          <w:rFonts w:eastAsia="Times New Roman"/>
        </w:rPr>
        <w:t xml:space="preserve"> с даты получения от Заказчика реестра получателей Товар</w:t>
      </w:r>
      <w:r w:rsidR="001116F3">
        <w:rPr>
          <w:rFonts w:eastAsia="Times New Roman"/>
        </w:rPr>
        <w:t>а</w:t>
      </w:r>
      <w:r>
        <w:rPr>
          <w:rFonts w:eastAsia="Times New Roman"/>
        </w:rPr>
        <w:t xml:space="preserve"> до 06.12.2024 (включительно). </w:t>
      </w:r>
    </w:p>
    <w:p w:rsidR="00002835" w:rsidRDefault="00002835" w:rsidP="00002835">
      <w:pPr>
        <w:jc w:val="both"/>
        <w:rPr>
          <w:rFonts w:eastAsia="Times New Roman"/>
        </w:rPr>
      </w:pPr>
      <w:r w:rsidRPr="002D22FA">
        <w:rPr>
          <w:rFonts w:eastAsia="Times New Roman"/>
          <w:b/>
        </w:rPr>
        <w:t>Место доставки Товара:</w:t>
      </w:r>
      <w:r w:rsidRPr="00FC2515">
        <w:rPr>
          <w:rFonts w:eastAsia="Times New Roman"/>
        </w:rPr>
        <w:t xml:space="preserve"> Санкт-Петербург и Ленинградская область.</w:t>
      </w:r>
    </w:p>
    <w:p w:rsidR="00002835" w:rsidRPr="00A85125" w:rsidRDefault="00002835" w:rsidP="00002835">
      <w:pPr>
        <w:jc w:val="both"/>
        <w:rPr>
          <w:rFonts w:eastAsia="Times New Roman"/>
        </w:rPr>
      </w:pPr>
      <w:r w:rsidRPr="002D22FA">
        <w:rPr>
          <w:rFonts w:eastAsia="Times New Roman"/>
          <w:b/>
        </w:rPr>
        <w:t>Место жительства (место пребывания, фактического проживания) Получателей:</w:t>
      </w:r>
      <w:r w:rsidRPr="00A85125">
        <w:rPr>
          <w:rFonts w:eastAsia="Times New Roman"/>
        </w:rPr>
        <w:t xml:space="preserve"> Санкт-Петербург</w:t>
      </w:r>
      <w:r>
        <w:rPr>
          <w:rFonts w:eastAsia="Times New Roman"/>
        </w:rPr>
        <w:t xml:space="preserve"> и Ленинградская область</w:t>
      </w:r>
    </w:p>
    <w:p w:rsidR="00002835" w:rsidRPr="00FC2515" w:rsidRDefault="00002835" w:rsidP="00002835">
      <w:pPr>
        <w:jc w:val="both"/>
        <w:rPr>
          <w:rFonts w:eastAsia="Times New Roman"/>
        </w:rPr>
      </w:pPr>
    </w:p>
    <w:p w:rsidR="00002835" w:rsidRPr="00FC2515" w:rsidRDefault="00002835" w:rsidP="00002835">
      <w:pPr>
        <w:numPr>
          <w:ilvl w:val="0"/>
          <w:numId w:val="3"/>
        </w:numPr>
        <w:ind w:left="0" w:firstLine="360"/>
        <w:contextualSpacing/>
        <w:jc w:val="both"/>
        <w:rPr>
          <w:rFonts w:eastAsia="Times New Roman"/>
        </w:rPr>
      </w:pPr>
      <w:r w:rsidRPr="00FC2515">
        <w:rPr>
          <w:rFonts w:eastAsia="Times New Roman"/>
        </w:rPr>
        <w:t>Поставщик обязан обеспечить поступление Товара по наименованию, в количестве и в сроки, определенные календарным планом:</w:t>
      </w:r>
    </w:p>
    <w:p w:rsidR="00002835" w:rsidRPr="00FC2515" w:rsidRDefault="00002835" w:rsidP="00002835">
      <w:pPr>
        <w:ind w:left="360"/>
        <w:jc w:val="both"/>
        <w:rPr>
          <w:rFonts w:eastAsia="Times New Roman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3114"/>
        <w:gridCol w:w="4601"/>
        <w:gridCol w:w="1093"/>
      </w:tblGrid>
      <w:tr w:rsidR="00002835" w:rsidTr="00BE0442">
        <w:trPr>
          <w:trHeight w:val="841"/>
        </w:trPr>
        <w:tc>
          <w:tcPr>
            <w:tcW w:w="287" w:type="pct"/>
            <w:vAlign w:val="center"/>
          </w:tcPr>
          <w:p w:rsidR="00002835" w:rsidRPr="00FC2515" w:rsidRDefault="00002835" w:rsidP="00BE0442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eastAsia="Times New Roman"/>
                <w:b/>
              </w:rPr>
            </w:pPr>
            <w:r w:rsidRPr="00FC2515">
              <w:rPr>
                <w:rFonts w:eastAsia="Times New Roman"/>
                <w:b/>
              </w:rPr>
              <w:t>№ п/п</w:t>
            </w:r>
          </w:p>
        </w:tc>
        <w:tc>
          <w:tcPr>
            <w:tcW w:w="1666" w:type="pct"/>
            <w:vAlign w:val="center"/>
          </w:tcPr>
          <w:p w:rsidR="00002835" w:rsidRPr="00FC2515" w:rsidRDefault="00002835" w:rsidP="00BE0442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eastAsia="Times New Roman"/>
                <w:b/>
              </w:rPr>
            </w:pPr>
            <w:r w:rsidRPr="00FC2515">
              <w:rPr>
                <w:rFonts w:eastAsia="Times New Roman"/>
                <w:b/>
              </w:rPr>
              <w:t>Наименование Товара</w:t>
            </w:r>
          </w:p>
        </w:tc>
        <w:tc>
          <w:tcPr>
            <w:tcW w:w="2462" w:type="pct"/>
            <w:vAlign w:val="center"/>
          </w:tcPr>
          <w:p w:rsidR="00002835" w:rsidRPr="00FC2515" w:rsidRDefault="00002835" w:rsidP="00BE0442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eastAsia="Times New Roman"/>
                <w:b/>
              </w:rPr>
            </w:pPr>
            <w:r w:rsidRPr="00FC2515">
              <w:rPr>
                <w:rFonts w:eastAsia="Times New Roman"/>
                <w:b/>
              </w:rPr>
              <w:t>Периоды поставки на 202</w:t>
            </w:r>
            <w:r>
              <w:rPr>
                <w:rFonts w:eastAsia="Times New Roman"/>
                <w:b/>
              </w:rPr>
              <w:t>4</w:t>
            </w:r>
            <w:r w:rsidRPr="00FC2515">
              <w:rPr>
                <w:rFonts w:eastAsia="Times New Roman"/>
                <w:b/>
              </w:rPr>
              <w:t xml:space="preserve"> год</w:t>
            </w:r>
          </w:p>
        </w:tc>
        <w:tc>
          <w:tcPr>
            <w:tcW w:w="585" w:type="pct"/>
            <w:vAlign w:val="center"/>
          </w:tcPr>
          <w:p w:rsidR="00002835" w:rsidRPr="00FC2515" w:rsidRDefault="00002835" w:rsidP="00BE0442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eastAsia="Times New Roman"/>
                <w:b/>
              </w:rPr>
            </w:pPr>
            <w:r w:rsidRPr="00FC2515">
              <w:rPr>
                <w:rFonts w:eastAsia="Times New Roman"/>
                <w:b/>
              </w:rPr>
              <w:t>Кол-во</w:t>
            </w:r>
          </w:p>
          <w:p w:rsidR="00002835" w:rsidRPr="00FC2515" w:rsidRDefault="00002835" w:rsidP="00BE0442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eastAsia="Times New Roman"/>
                <w:b/>
              </w:rPr>
            </w:pPr>
            <w:r w:rsidRPr="00FC2515">
              <w:rPr>
                <w:rFonts w:eastAsia="Times New Roman"/>
                <w:b/>
              </w:rPr>
              <w:t>(шт.)</w:t>
            </w:r>
          </w:p>
        </w:tc>
      </w:tr>
      <w:tr w:rsidR="00002835" w:rsidTr="00BE0442">
        <w:trPr>
          <w:trHeight w:val="20"/>
        </w:trPr>
        <w:tc>
          <w:tcPr>
            <w:tcW w:w="287" w:type="pct"/>
            <w:vMerge w:val="restart"/>
            <w:vAlign w:val="center"/>
          </w:tcPr>
          <w:p w:rsidR="00002835" w:rsidRPr="00FC2515" w:rsidRDefault="00002835" w:rsidP="00BE04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FC2515">
              <w:rPr>
                <w:rFonts w:eastAsia="Times New Roman"/>
                <w:b/>
              </w:rPr>
              <w:t>1</w:t>
            </w:r>
          </w:p>
        </w:tc>
        <w:tc>
          <w:tcPr>
            <w:tcW w:w="1666" w:type="pct"/>
            <w:vMerge w:val="restart"/>
          </w:tcPr>
          <w:p w:rsidR="00002835" w:rsidRPr="00FC2515" w:rsidRDefault="00002835" w:rsidP="00BE0442">
            <w:pPr>
              <w:jc w:val="center"/>
              <w:rPr>
                <w:rFonts w:eastAsia="Times New Roman"/>
              </w:rPr>
            </w:pPr>
            <w:r w:rsidRPr="00B64BA6">
              <w:t xml:space="preserve">Однокомпонентный дренируемый калоприемник со встроенной </w:t>
            </w:r>
            <w:proofErr w:type="spellStart"/>
            <w:r w:rsidRPr="00B64BA6">
              <w:t>конвексной</w:t>
            </w:r>
            <w:proofErr w:type="spellEnd"/>
            <w:r w:rsidRPr="00B64BA6">
              <w:t xml:space="preserve"> пластиной</w:t>
            </w:r>
          </w:p>
        </w:tc>
        <w:tc>
          <w:tcPr>
            <w:tcW w:w="2462" w:type="pct"/>
          </w:tcPr>
          <w:p w:rsidR="00002835" w:rsidRPr="00FC2515" w:rsidRDefault="00002835" w:rsidP="00BE0442">
            <w:pPr>
              <w:rPr>
                <w:rFonts w:eastAsia="Times New Roman"/>
              </w:rPr>
            </w:pPr>
            <w:r w:rsidRPr="00FC2515">
              <w:rPr>
                <w:rFonts w:eastAsia="Times New Roman"/>
              </w:rPr>
              <w:t>В течение 2 (двух) календарных дней с даты заключения государственного контракта</w:t>
            </w:r>
          </w:p>
        </w:tc>
        <w:tc>
          <w:tcPr>
            <w:tcW w:w="585" w:type="pct"/>
          </w:tcPr>
          <w:p w:rsidR="00002835" w:rsidRPr="00FC2515" w:rsidRDefault="00002835" w:rsidP="00BE04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6 500</w:t>
            </w:r>
          </w:p>
        </w:tc>
      </w:tr>
      <w:tr w:rsidR="00002835" w:rsidTr="00BE0442">
        <w:trPr>
          <w:trHeight w:val="20"/>
        </w:trPr>
        <w:tc>
          <w:tcPr>
            <w:tcW w:w="287" w:type="pct"/>
            <w:vMerge/>
            <w:vAlign w:val="center"/>
          </w:tcPr>
          <w:p w:rsidR="00002835" w:rsidRPr="00FC2515" w:rsidRDefault="00002835" w:rsidP="00BE04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1666" w:type="pct"/>
            <w:vMerge/>
          </w:tcPr>
          <w:p w:rsidR="00002835" w:rsidRPr="00FC2515" w:rsidRDefault="00002835" w:rsidP="00BE044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/>
              </w:rPr>
            </w:pPr>
          </w:p>
        </w:tc>
        <w:tc>
          <w:tcPr>
            <w:tcW w:w="2462" w:type="pct"/>
          </w:tcPr>
          <w:p w:rsidR="00002835" w:rsidRPr="00FC2515" w:rsidRDefault="00002835" w:rsidP="00BE0442">
            <w:pPr>
              <w:rPr>
                <w:rFonts w:eastAsia="Times New Roman"/>
              </w:rPr>
            </w:pPr>
            <w:r w:rsidRPr="00F13883">
              <w:t>В течение 15 (пятнадцати) календарных дней с даты заключения государственного контракта</w:t>
            </w:r>
          </w:p>
        </w:tc>
        <w:tc>
          <w:tcPr>
            <w:tcW w:w="585" w:type="pct"/>
          </w:tcPr>
          <w:p w:rsidR="00002835" w:rsidRPr="00FC2515" w:rsidRDefault="00002835" w:rsidP="00BE04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10 000</w:t>
            </w:r>
          </w:p>
        </w:tc>
      </w:tr>
      <w:tr w:rsidR="00002835" w:rsidTr="00BE0442">
        <w:trPr>
          <w:trHeight w:val="20"/>
        </w:trPr>
        <w:tc>
          <w:tcPr>
            <w:tcW w:w="4415" w:type="pct"/>
            <w:gridSpan w:val="3"/>
            <w:vAlign w:val="center"/>
          </w:tcPr>
          <w:p w:rsidR="00002835" w:rsidRPr="00FC2515" w:rsidRDefault="00002835" w:rsidP="00BE044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/>
                <w:b/>
              </w:rPr>
            </w:pPr>
            <w:r w:rsidRPr="00FC2515">
              <w:rPr>
                <w:rFonts w:eastAsia="Times New Roman"/>
                <w:b/>
              </w:rPr>
              <w:t>Итого</w:t>
            </w:r>
          </w:p>
        </w:tc>
        <w:tc>
          <w:tcPr>
            <w:tcW w:w="585" w:type="pct"/>
            <w:vAlign w:val="center"/>
          </w:tcPr>
          <w:p w:rsidR="00002835" w:rsidRPr="00FC2515" w:rsidRDefault="00002835" w:rsidP="00BE04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16 500</w:t>
            </w:r>
          </w:p>
        </w:tc>
      </w:tr>
    </w:tbl>
    <w:p w:rsidR="00002835" w:rsidRPr="00FC2515" w:rsidRDefault="00002835" w:rsidP="00002835">
      <w:pPr>
        <w:jc w:val="both"/>
        <w:rPr>
          <w:rFonts w:eastAsia="Times New Roman"/>
        </w:rPr>
      </w:pPr>
    </w:p>
    <w:p w:rsidR="00002835" w:rsidRPr="00FC2515" w:rsidRDefault="00002835" w:rsidP="00002835">
      <w:pPr>
        <w:jc w:val="both"/>
        <w:rPr>
          <w:rFonts w:eastAsia="Times New Roman"/>
        </w:rPr>
      </w:pPr>
      <w:r w:rsidRPr="00FC2515">
        <w:rPr>
          <w:rFonts w:eastAsia="Times New Roman"/>
        </w:rPr>
        <w:t xml:space="preserve">2. 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002835" w:rsidRPr="00FC2515" w:rsidRDefault="00002835" w:rsidP="00002835">
      <w:pPr>
        <w:jc w:val="both"/>
        <w:rPr>
          <w:rFonts w:eastAsia="Times New Roman"/>
        </w:rPr>
      </w:pPr>
    </w:p>
    <w:p w:rsidR="00002835" w:rsidRPr="00FC2515" w:rsidRDefault="00002835" w:rsidP="00002835">
      <w:pPr>
        <w:jc w:val="both"/>
        <w:rPr>
          <w:rFonts w:eastAsia="Times New Roman"/>
        </w:rPr>
      </w:pPr>
      <w:r w:rsidRPr="00FC2515">
        <w:rPr>
          <w:rFonts w:eastAsia="Times New Roman"/>
        </w:rPr>
        <w:t>3.Товар должен отвечать следующим требованиям:</w:t>
      </w:r>
    </w:p>
    <w:tbl>
      <w:tblPr>
        <w:tblStyle w:val="a4"/>
        <w:tblW w:w="9931" w:type="dxa"/>
        <w:tblLayout w:type="fixed"/>
        <w:tblLook w:val="04A0" w:firstRow="1" w:lastRow="0" w:firstColumn="1" w:lastColumn="0" w:noHBand="0" w:noVBand="1"/>
      </w:tblPr>
      <w:tblGrid>
        <w:gridCol w:w="409"/>
        <w:gridCol w:w="1793"/>
        <w:gridCol w:w="1794"/>
        <w:gridCol w:w="3036"/>
        <w:gridCol w:w="1658"/>
        <w:gridCol w:w="1241"/>
      </w:tblGrid>
      <w:tr w:rsidR="00002835" w:rsidTr="00AB6FCA">
        <w:trPr>
          <w:trHeight w:val="899"/>
        </w:trPr>
        <w:tc>
          <w:tcPr>
            <w:tcW w:w="409" w:type="dxa"/>
          </w:tcPr>
          <w:p w:rsidR="00002835" w:rsidRPr="00DC7B38" w:rsidRDefault="00002835" w:rsidP="00BE0442">
            <w:pPr>
              <w:spacing w:line="265" w:lineRule="auto"/>
              <w:jc w:val="both"/>
              <w:rPr>
                <w:bCs/>
              </w:rPr>
            </w:pPr>
            <w:r w:rsidRPr="00DC7B38">
              <w:rPr>
                <w:bCs/>
              </w:rPr>
              <w:t>№</w:t>
            </w:r>
          </w:p>
        </w:tc>
        <w:tc>
          <w:tcPr>
            <w:tcW w:w="1793" w:type="dxa"/>
          </w:tcPr>
          <w:p w:rsidR="00002835" w:rsidRPr="00DC7B38" w:rsidRDefault="00002835" w:rsidP="00BE0442">
            <w:pPr>
              <w:spacing w:line="265" w:lineRule="auto"/>
              <w:jc w:val="both"/>
            </w:pPr>
            <w:r w:rsidRPr="00DC7B38">
              <w:rPr>
                <w:bCs/>
              </w:rPr>
              <w:t>Наименование Товара</w:t>
            </w:r>
          </w:p>
        </w:tc>
        <w:tc>
          <w:tcPr>
            <w:tcW w:w="1794" w:type="dxa"/>
          </w:tcPr>
          <w:p w:rsidR="00002835" w:rsidRPr="00DC7B38" w:rsidRDefault="00002835" w:rsidP="00BE0442">
            <w:pPr>
              <w:spacing w:line="265" w:lineRule="auto"/>
            </w:pPr>
            <w:r w:rsidRPr="00DC7B38">
              <w:rPr>
                <w:bCs/>
              </w:rPr>
              <w:t>Наименование Товара по КТРУ</w:t>
            </w:r>
          </w:p>
        </w:tc>
        <w:tc>
          <w:tcPr>
            <w:tcW w:w="3036" w:type="dxa"/>
          </w:tcPr>
          <w:p w:rsidR="00002835" w:rsidRPr="00DC7B38" w:rsidRDefault="00002835" w:rsidP="00BE0442">
            <w:pPr>
              <w:spacing w:line="265" w:lineRule="auto"/>
              <w:jc w:val="both"/>
            </w:pPr>
            <w:r w:rsidRPr="00DC7B38">
              <w:t>Наименование характеристики Товара</w:t>
            </w:r>
          </w:p>
        </w:tc>
        <w:tc>
          <w:tcPr>
            <w:tcW w:w="1656" w:type="dxa"/>
          </w:tcPr>
          <w:p w:rsidR="00002835" w:rsidRPr="00DC7B38" w:rsidRDefault="00002835" w:rsidP="00BE0442">
            <w:pPr>
              <w:spacing w:line="265" w:lineRule="auto"/>
              <w:jc w:val="both"/>
            </w:pPr>
            <w:r w:rsidRPr="00DC7B38">
              <w:t>Значение характеристики</w:t>
            </w:r>
          </w:p>
        </w:tc>
        <w:tc>
          <w:tcPr>
            <w:tcW w:w="1241" w:type="dxa"/>
          </w:tcPr>
          <w:p w:rsidR="00002835" w:rsidRPr="00DC7B38" w:rsidRDefault="00002835" w:rsidP="00BE0442">
            <w:pPr>
              <w:spacing w:line="265" w:lineRule="auto"/>
              <w:jc w:val="both"/>
            </w:pPr>
            <w:r w:rsidRPr="00DC7B38">
              <w:t>Количество, шт.</w:t>
            </w:r>
          </w:p>
        </w:tc>
      </w:tr>
      <w:tr w:rsidR="00002835" w:rsidTr="00AB6FCA">
        <w:trPr>
          <w:trHeight w:val="2746"/>
        </w:trPr>
        <w:tc>
          <w:tcPr>
            <w:tcW w:w="409" w:type="dxa"/>
            <w:vMerge w:val="restart"/>
          </w:tcPr>
          <w:p w:rsidR="00002835" w:rsidRPr="00DC7B38" w:rsidRDefault="00002835" w:rsidP="00BE0442">
            <w:pPr>
              <w:spacing w:line="265" w:lineRule="auto"/>
              <w:jc w:val="both"/>
            </w:pPr>
            <w:r w:rsidRPr="00DC7B38">
              <w:t>1</w:t>
            </w:r>
          </w:p>
          <w:p w:rsidR="00002835" w:rsidRPr="00DC7B38" w:rsidRDefault="00002835" w:rsidP="00BE0442">
            <w:pPr>
              <w:spacing w:line="265" w:lineRule="auto"/>
              <w:jc w:val="both"/>
            </w:pPr>
          </w:p>
        </w:tc>
        <w:tc>
          <w:tcPr>
            <w:tcW w:w="1793" w:type="dxa"/>
            <w:vMerge w:val="restart"/>
          </w:tcPr>
          <w:p w:rsidR="00002835" w:rsidRPr="00DC7B38" w:rsidRDefault="00002835" w:rsidP="00BE0442">
            <w:pPr>
              <w:spacing w:line="265" w:lineRule="auto"/>
              <w:jc w:val="both"/>
            </w:pPr>
            <w:r w:rsidRPr="00DC7B38">
              <w:t xml:space="preserve">Однокомпонентный дренируемый калоприемник со встроенной </w:t>
            </w:r>
            <w:proofErr w:type="spellStart"/>
            <w:r w:rsidRPr="00DC7B38">
              <w:t>конвексной</w:t>
            </w:r>
            <w:proofErr w:type="spellEnd"/>
            <w:r w:rsidRPr="00DC7B38">
              <w:t xml:space="preserve"> пластиной</w:t>
            </w:r>
          </w:p>
        </w:tc>
        <w:tc>
          <w:tcPr>
            <w:tcW w:w="1794" w:type="dxa"/>
            <w:vMerge w:val="restart"/>
          </w:tcPr>
          <w:p w:rsidR="00002835" w:rsidRPr="00DC7B38" w:rsidRDefault="00002835" w:rsidP="00BE0442">
            <w:pPr>
              <w:spacing w:line="265" w:lineRule="auto"/>
            </w:pPr>
            <w:r w:rsidRPr="00DC7B38">
              <w:t xml:space="preserve">Калоприемник для кишечной </w:t>
            </w:r>
            <w:proofErr w:type="spellStart"/>
            <w:r w:rsidRPr="00DC7B38">
              <w:t>стомы</w:t>
            </w:r>
            <w:proofErr w:type="spellEnd"/>
            <w:r w:rsidRPr="00DC7B38">
              <w:t xml:space="preserve"> открытого типа, однокомпонентный</w:t>
            </w:r>
          </w:p>
        </w:tc>
        <w:tc>
          <w:tcPr>
            <w:tcW w:w="3036" w:type="dxa"/>
          </w:tcPr>
          <w:p w:rsidR="00002835" w:rsidRPr="00DC7B38" w:rsidRDefault="00002835" w:rsidP="00BE0442">
            <w:pPr>
              <w:spacing w:line="265" w:lineRule="auto"/>
            </w:pPr>
            <w:r w:rsidRPr="00DC7B38">
              <w:t xml:space="preserve">Неразъемные, герметичные, опорожняемые через закрывающееся дренажное отверстие </w:t>
            </w:r>
            <w:proofErr w:type="spellStart"/>
            <w:r w:rsidRPr="00DC7B38">
              <w:t>стомные</w:t>
            </w:r>
            <w:proofErr w:type="spellEnd"/>
            <w:r w:rsidRPr="00DC7B38">
              <w:t xml:space="preserve"> мешки из непрозрачного/прозрачного, многослойного, не пропускающего запах </w:t>
            </w:r>
            <w:r w:rsidRPr="00DC7B38">
              <w:lastRenderedPageBreak/>
              <w:t>материала (пленки), с односторонним или двусторонним мягким нетканым покрытием или подложкой, с дренажным отверстием (портом), с зажимом или застежкой для закрывающего дренажного отверстия</w:t>
            </w:r>
            <w:r w:rsidRPr="00DC7B38">
              <w:rPr>
                <w:b/>
              </w:rPr>
              <w:t>, с фильтром</w:t>
            </w:r>
            <w:r w:rsidRPr="00DC7B38">
              <w:t xml:space="preserve">, со встроенной </w:t>
            </w:r>
            <w:proofErr w:type="spellStart"/>
            <w:r w:rsidRPr="00DC7B38">
              <w:t>конвексной</w:t>
            </w:r>
            <w:proofErr w:type="spellEnd"/>
            <w:r w:rsidRPr="00DC7B38">
              <w:t xml:space="preserve"> адгезивной пластиной на </w:t>
            </w:r>
            <w:proofErr w:type="spellStart"/>
            <w:r w:rsidRPr="00DC7B38">
              <w:t>гипоалергенной</w:t>
            </w:r>
            <w:proofErr w:type="spellEnd"/>
            <w:r w:rsidRPr="00DC7B38">
              <w:t xml:space="preserve"> гидроколлоидной основе с защитным покрытием ,с шаблоном для вырезания отверстий под </w:t>
            </w:r>
            <w:proofErr w:type="spellStart"/>
            <w:r w:rsidRPr="00DC7B38">
              <w:t>стому</w:t>
            </w:r>
            <w:proofErr w:type="spellEnd"/>
            <w:r w:rsidRPr="00DC7B38">
              <w:t xml:space="preserve">, различными вырезаемыми отверстиями под </w:t>
            </w:r>
            <w:proofErr w:type="spellStart"/>
            <w:r w:rsidRPr="00DC7B38">
              <w:t>стому</w:t>
            </w:r>
            <w:proofErr w:type="spellEnd"/>
          </w:p>
        </w:tc>
        <w:tc>
          <w:tcPr>
            <w:tcW w:w="1656" w:type="dxa"/>
          </w:tcPr>
          <w:p w:rsidR="00002835" w:rsidRPr="00DC7B38" w:rsidRDefault="00002835" w:rsidP="00BE0442">
            <w:pPr>
              <w:spacing w:line="265" w:lineRule="auto"/>
              <w:jc w:val="both"/>
            </w:pPr>
            <w:r w:rsidRPr="00DC7B38">
              <w:lastRenderedPageBreak/>
              <w:t>Наличие</w:t>
            </w:r>
          </w:p>
        </w:tc>
        <w:tc>
          <w:tcPr>
            <w:tcW w:w="1241" w:type="dxa"/>
            <w:vMerge w:val="restart"/>
          </w:tcPr>
          <w:p w:rsidR="00002835" w:rsidRPr="00DC7B38" w:rsidRDefault="00002835" w:rsidP="00BE0442">
            <w:pPr>
              <w:spacing w:line="265" w:lineRule="auto"/>
              <w:jc w:val="both"/>
            </w:pPr>
            <w:r>
              <w:t>16</w:t>
            </w:r>
            <w:r w:rsidRPr="00DC7B38">
              <w:t xml:space="preserve"> </w:t>
            </w:r>
            <w:r>
              <w:t>5</w:t>
            </w:r>
            <w:r w:rsidRPr="00DC7B38">
              <w:t>00</w:t>
            </w:r>
          </w:p>
        </w:tc>
      </w:tr>
      <w:tr w:rsidR="00002835" w:rsidTr="00AB6FCA">
        <w:trPr>
          <w:trHeight w:val="411"/>
        </w:trPr>
        <w:tc>
          <w:tcPr>
            <w:tcW w:w="409" w:type="dxa"/>
            <w:vMerge/>
          </w:tcPr>
          <w:p w:rsidR="00002835" w:rsidRPr="00DC7B38" w:rsidRDefault="00002835" w:rsidP="00BE0442">
            <w:pPr>
              <w:spacing w:line="265" w:lineRule="auto"/>
              <w:jc w:val="both"/>
            </w:pPr>
          </w:p>
        </w:tc>
        <w:tc>
          <w:tcPr>
            <w:tcW w:w="1793" w:type="dxa"/>
            <w:vMerge/>
          </w:tcPr>
          <w:p w:rsidR="00002835" w:rsidRPr="00DC7B38" w:rsidRDefault="00002835" w:rsidP="00BE0442">
            <w:pPr>
              <w:spacing w:line="265" w:lineRule="auto"/>
              <w:jc w:val="both"/>
            </w:pPr>
          </w:p>
        </w:tc>
        <w:tc>
          <w:tcPr>
            <w:tcW w:w="1794" w:type="dxa"/>
            <w:vMerge/>
          </w:tcPr>
          <w:p w:rsidR="00002835" w:rsidRPr="00DC7B38" w:rsidRDefault="00002835" w:rsidP="00BE0442">
            <w:pPr>
              <w:spacing w:line="265" w:lineRule="auto"/>
              <w:jc w:val="both"/>
            </w:pPr>
          </w:p>
        </w:tc>
        <w:tc>
          <w:tcPr>
            <w:tcW w:w="3036" w:type="dxa"/>
          </w:tcPr>
          <w:p w:rsidR="00002835" w:rsidRPr="00DC7B38" w:rsidRDefault="00002835" w:rsidP="00BE0442">
            <w:pPr>
              <w:spacing w:line="265" w:lineRule="auto"/>
              <w:jc w:val="both"/>
            </w:pPr>
            <w:r w:rsidRPr="00DC7B38">
              <w:t>Количество типоразмеров</w:t>
            </w:r>
          </w:p>
        </w:tc>
        <w:tc>
          <w:tcPr>
            <w:tcW w:w="1656" w:type="dxa"/>
          </w:tcPr>
          <w:p w:rsidR="00002835" w:rsidRPr="00DC7B38" w:rsidRDefault="00002835" w:rsidP="00BE0442">
            <w:pPr>
              <w:spacing w:line="265" w:lineRule="auto"/>
              <w:jc w:val="both"/>
            </w:pPr>
            <w:r w:rsidRPr="00DC7B38">
              <w:t xml:space="preserve">≥ 1 </w:t>
            </w:r>
            <w:proofErr w:type="spellStart"/>
            <w:r w:rsidRPr="00DC7B38">
              <w:t>шт</w:t>
            </w:r>
            <w:proofErr w:type="spellEnd"/>
          </w:p>
        </w:tc>
        <w:tc>
          <w:tcPr>
            <w:tcW w:w="1241" w:type="dxa"/>
            <w:vMerge/>
          </w:tcPr>
          <w:p w:rsidR="00002835" w:rsidRPr="00DC7B38" w:rsidRDefault="00002835" w:rsidP="00BE0442">
            <w:pPr>
              <w:spacing w:line="265" w:lineRule="auto"/>
              <w:jc w:val="both"/>
            </w:pPr>
          </w:p>
        </w:tc>
      </w:tr>
      <w:tr w:rsidR="00002835" w:rsidTr="00AB6FCA">
        <w:trPr>
          <w:trHeight w:val="1140"/>
        </w:trPr>
        <w:tc>
          <w:tcPr>
            <w:tcW w:w="409" w:type="dxa"/>
            <w:vMerge/>
          </w:tcPr>
          <w:p w:rsidR="00002835" w:rsidRPr="00DC7B38" w:rsidRDefault="00002835" w:rsidP="00BE0442">
            <w:pPr>
              <w:spacing w:line="265" w:lineRule="auto"/>
              <w:jc w:val="both"/>
            </w:pPr>
          </w:p>
        </w:tc>
        <w:tc>
          <w:tcPr>
            <w:tcW w:w="1793" w:type="dxa"/>
            <w:vMerge/>
          </w:tcPr>
          <w:p w:rsidR="00002835" w:rsidRPr="00DC7B38" w:rsidRDefault="00002835" w:rsidP="00BE0442">
            <w:pPr>
              <w:spacing w:line="265" w:lineRule="auto"/>
              <w:jc w:val="both"/>
            </w:pPr>
          </w:p>
        </w:tc>
        <w:tc>
          <w:tcPr>
            <w:tcW w:w="1794" w:type="dxa"/>
            <w:vMerge/>
          </w:tcPr>
          <w:p w:rsidR="00002835" w:rsidRPr="00DC7B38" w:rsidRDefault="00002835" w:rsidP="00BE0442">
            <w:pPr>
              <w:spacing w:line="265" w:lineRule="auto"/>
            </w:pPr>
          </w:p>
        </w:tc>
        <w:tc>
          <w:tcPr>
            <w:tcW w:w="3036" w:type="dxa"/>
          </w:tcPr>
          <w:p w:rsidR="00002835" w:rsidRPr="00DC7B38" w:rsidRDefault="00002835" w:rsidP="00BE0442">
            <w:pPr>
              <w:spacing w:line="265" w:lineRule="auto"/>
            </w:pPr>
            <w:r w:rsidRPr="00DC7B38">
              <w:t xml:space="preserve">Диаметр вырезаемого отверстия не менее 40 </w:t>
            </w:r>
            <w:r>
              <w:t xml:space="preserve">мм </w:t>
            </w:r>
            <w:r w:rsidRPr="00DC7B38">
              <w:t>(включительно)</w:t>
            </w:r>
          </w:p>
        </w:tc>
        <w:tc>
          <w:tcPr>
            <w:tcW w:w="1656" w:type="dxa"/>
          </w:tcPr>
          <w:p w:rsidR="00002835" w:rsidRPr="00DC7B38" w:rsidRDefault="00002835" w:rsidP="00BE0442">
            <w:pPr>
              <w:spacing w:line="265" w:lineRule="auto"/>
              <w:jc w:val="both"/>
            </w:pPr>
            <w:r w:rsidRPr="00DC7B38">
              <w:t>Наличие</w:t>
            </w:r>
          </w:p>
        </w:tc>
        <w:tc>
          <w:tcPr>
            <w:tcW w:w="1241" w:type="dxa"/>
            <w:vMerge/>
          </w:tcPr>
          <w:p w:rsidR="00002835" w:rsidRPr="00DC7B38" w:rsidRDefault="00002835" w:rsidP="00BE0442">
            <w:pPr>
              <w:spacing w:line="265" w:lineRule="auto"/>
              <w:jc w:val="both"/>
            </w:pPr>
          </w:p>
        </w:tc>
      </w:tr>
      <w:tr w:rsidR="00002835" w:rsidTr="00AB6FCA">
        <w:trPr>
          <w:trHeight w:val="300"/>
        </w:trPr>
        <w:tc>
          <w:tcPr>
            <w:tcW w:w="8690" w:type="dxa"/>
            <w:gridSpan w:val="5"/>
          </w:tcPr>
          <w:p w:rsidR="00002835" w:rsidRPr="00DC7B38" w:rsidRDefault="00002835" w:rsidP="00BE0442">
            <w:pPr>
              <w:spacing w:line="265" w:lineRule="auto"/>
              <w:jc w:val="right"/>
            </w:pPr>
            <w:r w:rsidRPr="00DC7B38">
              <w:t>Итого:</w:t>
            </w:r>
          </w:p>
        </w:tc>
        <w:tc>
          <w:tcPr>
            <w:tcW w:w="1241" w:type="dxa"/>
          </w:tcPr>
          <w:p w:rsidR="00002835" w:rsidRPr="00DC7B38" w:rsidRDefault="00002835" w:rsidP="00BE0442">
            <w:pPr>
              <w:spacing w:line="265" w:lineRule="auto"/>
              <w:jc w:val="both"/>
            </w:pPr>
            <w:r>
              <w:t>16</w:t>
            </w:r>
            <w:r w:rsidRPr="00DC7B38">
              <w:t xml:space="preserve"> </w:t>
            </w:r>
            <w:r>
              <w:t>5</w:t>
            </w:r>
            <w:r w:rsidRPr="00DC7B38">
              <w:t>00</w:t>
            </w:r>
          </w:p>
        </w:tc>
      </w:tr>
    </w:tbl>
    <w:p w:rsidR="00002835" w:rsidRDefault="00002835" w:rsidP="00002835">
      <w:pPr>
        <w:jc w:val="both"/>
        <w:rPr>
          <w:rFonts w:eastAsia="Times New Roman"/>
        </w:rPr>
      </w:pPr>
    </w:p>
    <w:p w:rsidR="00002835" w:rsidRPr="00A85125" w:rsidRDefault="00002835" w:rsidP="00002835">
      <w:pPr>
        <w:jc w:val="both"/>
        <w:rPr>
          <w:rFonts w:eastAsia="Times New Roman"/>
          <w:b/>
        </w:rPr>
      </w:pPr>
      <w:r w:rsidRPr="00A85125">
        <w:rPr>
          <w:rFonts w:eastAsia="Times New Roman"/>
          <w:b/>
        </w:rPr>
        <w:t>Обоснование включения дополнительной информации в сведения о товаре, работе, услуге:</w:t>
      </w:r>
    </w:p>
    <w:p w:rsidR="00002835" w:rsidRDefault="00002835" w:rsidP="00002835">
      <w:pPr>
        <w:jc w:val="both"/>
        <w:rPr>
          <w:rFonts w:eastAsia="Times New Roman"/>
        </w:rPr>
      </w:pPr>
      <w:r w:rsidRPr="00E36267">
        <w:rPr>
          <w:rFonts w:eastAsia="Times New Roman"/>
        </w:rPr>
        <w:t xml:space="preserve">Методические рекомендации по установлению медицинских показаний и противопоказаний при назначении специалистами медико-социальной экспертизы технических средств реабилитации инвалида и методика их рационального подбора, разработанные и утвержденные Минтрудом России </w:t>
      </w:r>
      <w:r>
        <w:rPr>
          <w:rFonts w:eastAsia="Times New Roman"/>
        </w:rPr>
        <w:t>(издание третье переработанное и дополненное)</w:t>
      </w:r>
    </w:p>
    <w:p w:rsidR="00002835" w:rsidRDefault="00002835" w:rsidP="00002835">
      <w:pPr>
        <w:jc w:val="both"/>
        <w:rPr>
          <w:rFonts w:eastAsia="Times New Roman"/>
        </w:rPr>
      </w:pPr>
      <w:r w:rsidRPr="00E36267">
        <w:rPr>
          <w:rFonts w:eastAsia="Times New Roman"/>
        </w:rPr>
        <w:t>ГОСТ Р 58235-2022 «Спе</w:t>
      </w:r>
      <w:r>
        <w:rPr>
          <w:rFonts w:eastAsia="Times New Roman"/>
        </w:rPr>
        <w:t>циальные средства при нарушении</w:t>
      </w:r>
      <w:r w:rsidRPr="00E36267">
        <w:rPr>
          <w:rFonts w:eastAsia="Times New Roman"/>
        </w:rPr>
        <w:t xml:space="preserve"> функции выделения. Термины и определения. Классификация»</w:t>
      </w:r>
      <w:r>
        <w:rPr>
          <w:rFonts w:eastAsia="Times New Roman"/>
        </w:rPr>
        <w:t>.</w:t>
      </w:r>
      <w:r w:rsidRPr="00E36267">
        <w:rPr>
          <w:rFonts w:eastAsia="Times New Roman"/>
        </w:rPr>
        <w:t xml:space="preserve"> </w:t>
      </w:r>
    </w:p>
    <w:p w:rsidR="00002835" w:rsidRPr="00FC2515" w:rsidRDefault="00002835" w:rsidP="00002835">
      <w:pPr>
        <w:jc w:val="both"/>
        <w:rPr>
          <w:rFonts w:eastAsia="Times New Roman"/>
        </w:rPr>
      </w:pPr>
      <w:r w:rsidRPr="00E36267">
        <w:rPr>
          <w:rFonts w:eastAsia="Times New Roman"/>
        </w:rPr>
        <w:t xml:space="preserve">ГОСТ Р 58237-2022 Средства ухода за кишечными </w:t>
      </w:r>
      <w:proofErr w:type="spellStart"/>
      <w:r w:rsidRPr="00E36267">
        <w:rPr>
          <w:rFonts w:eastAsia="Times New Roman"/>
        </w:rPr>
        <w:t>стомами</w:t>
      </w:r>
      <w:proofErr w:type="spellEnd"/>
      <w:r w:rsidRPr="00E36267">
        <w:rPr>
          <w:rFonts w:eastAsia="Times New Roman"/>
        </w:rPr>
        <w:t xml:space="preserve">: калоприемники, вспомогательные средства и средства ухода за кожей вокруг </w:t>
      </w:r>
      <w:proofErr w:type="spellStart"/>
      <w:r w:rsidRPr="00E36267">
        <w:rPr>
          <w:rFonts w:eastAsia="Times New Roman"/>
        </w:rPr>
        <w:t>стомы</w:t>
      </w:r>
      <w:proofErr w:type="spellEnd"/>
      <w:r w:rsidRPr="00E36267">
        <w:rPr>
          <w:rFonts w:eastAsia="Times New Roman"/>
        </w:rPr>
        <w:t>. Характеристики и основные</w:t>
      </w:r>
      <w:r>
        <w:rPr>
          <w:rFonts w:eastAsia="Times New Roman"/>
        </w:rPr>
        <w:t xml:space="preserve"> требования. Методы испытаний.</w:t>
      </w:r>
    </w:p>
    <w:p w:rsidR="00002835" w:rsidRPr="00FC2515" w:rsidRDefault="00002835" w:rsidP="00002835">
      <w:pPr>
        <w:jc w:val="both"/>
        <w:rPr>
          <w:rFonts w:eastAsia="Times New Roman"/>
        </w:rPr>
      </w:pPr>
      <w:r w:rsidRPr="00FC2515">
        <w:rPr>
          <w:rFonts w:eastAsia="Times New Roman"/>
        </w:rPr>
        <w:t>3.1. 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потребителя при его эксплуатации (Закон РФ от 07.02.1992 № 2300-1 «О защите прав потребителей»).</w:t>
      </w:r>
    </w:p>
    <w:p w:rsidR="00002835" w:rsidRPr="00FC2515" w:rsidRDefault="00002835" w:rsidP="00002835">
      <w:pPr>
        <w:jc w:val="both"/>
        <w:rPr>
          <w:rFonts w:eastAsia="Times New Roman"/>
        </w:rPr>
      </w:pPr>
      <w:r w:rsidRPr="00FC2515">
        <w:rPr>
          <w:rFonts w:eastAsia="Times New Roman"/>
        </w:rPr>
        <w:t xml:space="preserve">3.2. Товар должен соответствовать требованиям государственного стандарта (ГОСТ), действующего на территории Российской Федерации: </w:t>
      </w:r>
    </w:p>
    <w:p w:rsidR="00002835" w:rsidRPr="00063A50" w:rsidRDefault="00002835" w:rsidP="00002835">
      <w:pPr>
        <w:jc w:val="both"/>
        <w:rPr>
          <w:rFonts w:eastAsia="Times New Roman"/>
        </w:rPr>
      </w:pPr>
      <w:r w:rsidRPr="00063A50">
        <w:rPr>
          <w:rFonts w:eastAsia="Times New Roman"/>
        </w:rPr>
        <w:t>ГОСТ Р 58235-20</w:t>
      </w:r>
      <w:r>
        <w:rPr>
          <w:rFonts w:eastAsia="Times New Roman"/>
        </w:rPr>
        <w:t>22</w:t>
      </w:r>
      <w:r w:rsidRPr="00063A50">
        <w:rPr>
          <w:rFonts w:eastAsia="Times New Roman"/>
        </w:rPr>
        <w:t xml:space="preserve"> «Спе</w:t>
      </w:r>
      <w:r>
        <w:rPr>
          <w:rFonts w:eastAsia="Times New Roman"/>
        </w:rPr>
        <w:t>циальные средства при нарушении</w:t>
      </w:r>
      <w:r w:rsidRPr="00063A50">
        <w:rPr>
          <w:rFonts w:eastAsia="Times New Roman"/>
        </w:rPr>
        <w:t xml:space="preserve"> функции выделения. Термины и определения. Классификация»</w:t>
      </w:r>
    </w:p>
    <w:p w:rsidR="00002835" w:rsidRPr="00063A50" w:rsidRDefault="00002835" w:rsidP="00002835">
      <w:pPr>
        <w:jc w:val="both"/>
        <w:rPr>
          <w:rFonts w:eastAsia="Times New Roman"/>
        </w:rPr>
      </w:pPr>
      <w:r>
        <w:rPr>
          <w:rFonts w:eastAsia="Times New Roman"/>
        </w:rPr>
        <w:t>ГОСТ Р 58237-2022</w:t>
      </w:r>
      <w:r w:rsidRPr="00063A50">
        <w:rPr>
          <w:rFonts w:eastAsia="Times New Roman"/>
        </w:rPr>
        <w:t xml:space="preserve"> Средства ухода за кишечными </w:t>
      </w:r>
      <w:proofErr w:type="spellStart"/>
      <w:r w:rsidRPr="00063A50">
        <w:rPr>
          <w:rFonts w:eastAsia="Times New Roman"/>
        </w:rPr>
        <w:t>стомами</w:t>
      </w:r>
      <w:proofErr w:type="spellEnd"/>
      <w:r w:rsidRPr="00063A50">
        <w:rPr>
          <w:rFonts w:eastAsia="Times New Roman"/>
        </w:rPr>
        <w:t xml:space="preserve">: калоприемники, вспомогательные средства и средства ухода за кожей вокруг </w:t>
      </w:r>
      <w:proofErr w:type="spellStart"/>
      <w:r w:rsidRPr="00063A50">
        <w:rPr>
          <w:rFonts w:eastAsia="Times New Roman"/>
        </w:rPr>
        <w:t>стомы</w:t>
      </w:r>
      <w:proofErr w:type="spellEnd"/>
      <w:r w:rsidRPr="00063A50">
        <w:rPr>
          <w:rFonts w:eastAsia="Times New Roman"/>
        </w:rPr>
        <w:t>. Характеристики и основные требования. Методы испытаний.)</w:t>
      </w:r>
    </w:p>
    <w:p w:rsidR="00002835" w:rsidRPr="00063A50" w:rsidRDefault="00002835" w:rsidP="00002835">
      <w:pPr>
        <w:jc w:val="both"/>
        <w:rPr>
          <w:rFonts w:eastAsia="Times New Roman"/>
        </w:rPr>
      </w:pPr>
      <w:r w:rsidRPr="00063A50">
        <w:rPr>
          <w:rFonts w:eastAsia="Times New Roman"/>
        </w:rPr>
        <w:lastRenderedPageBreak/>
        <w:t>ГОСТ Р 52770-20</w:t>
      </w:r>
      <w:r>
        <w:rPr>
          <w:rFonts w:eastAsia="Times New Roman"/>
        </w:rPr>
        <w:t xml:space="preserve">23 «Изделия медицинские. Система оценки биологического действия. Общие требования безопасности». </w:t>
      </w:r>
    </w:p>
    <w:p w:rsidR="00002835" w:rsidRPr="00FC2515" w:rsidRDefault="00002835" w:rsidP="00002835">
      <w:pPr>
        <w:jc w:val="both"/>
        <w:rPr>
          <w:rFonts w:eastAsia="Times New Roman"/>
        </w:rPr>
      </w:pPr>
      <w:r w:rsidRPr="00FC2515">
        <w:rPr>
          <w:rFonts w:eastAsia="Times New Roman"/>
        </w:rPr>
        <w:t>3.3. Товар должен быть новым,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свойства. Товар должен быть свободными от прав третьих лиц.</w:t>
      </w:r>
    </w:p>
    <w:p w:rsidR="00002835" w:rsidRPr="00FC2515" w:rsidRDefault="00002835" w:rsidP="00002835">
      <w:pPr>
        <w:jc w:val="both"/>
        <w:rPr>
          <w:rFonts w:eastAsia="Times New Roman"/>
        </w:rPr>
      </w:pPr>
      <w:r w:rsidRPr="00FC2515">
        <w:rPr>
          <w:rFonts w:eastAsia="Times New Roman"/>
        </w:rPr>
        <w:t>3.4.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(п.4.11.5 ГОСТ Р 51632-2021 «Технические средства реабилитации людей с ограничениями жизнедеятельности. Общие технические требования и методы испытаний»).</w:t>
      </w:r>
    </w:p>
    <w:p w:rsidR="00002835" w:rsidRPr="00FC2515" w:rsidRDefault="00002835" w:rsidP="00002835">
      <w:pPr>
        <w:jc w:val="both"/>
        <w:rPr>
          <w:rFonts w:eastAsia="Times New Roman"/>
        </w:rPr>
      </w:pPr>
      <w:r w:rsidRPr="00FC2515">
        <w:rPr>
          <w:rFonts w:eastAsia="Times New Roman"/>
        </w:rPr>
        <w:t>4. Поставщик обязан:</w:t>
      </w:r>
    </w:p>
    <w:p w:rsidR="00002835" w:rsidRPr="00FC2515" w:rsidRDefault="00002835" w:rsidP="00002835">
      <w:pPr>
        <w:jc w:val="both"/>
        <w:rPr>
          <w:rFonts w:eastAsia="Times New Roman"/>
        </w:rPr>
      </w:pPr>
      <w:r w:rsidRPr="00FC2515">
        <w:rPr>
          <w:rFonts w:eastAsia="Times New Roman"/>
        </w:rPr>
        <w:t xml:space="preserve">4.1. Поставлять Товар для Получателей, </w:t>
      </w:r>
      <w:r w:rsidRPr="00FC2515">
        <w:rPr>
          <w:rFonts w:eastAsia="Times New Roman"/>
          <w:spacing w:val="-4"/>
        </w:rPr>
        <w:t xml:space="preserve">имеющий </w:t>
      </w:r>
      <w:r w:rsidRPr="00FC2515">
        <w:rPr>
          <w:rFonts w:ascii="Times New Roman CYR" w:eastAsia="Times New Roman" w:hAnsi="Times New Roman CYR" w:cs="Times New Roman CYR"/>
        </w:rPr>
        <w:t xml:space="preserve">действующие </w:t>
      </w:r>
      <w:r w:rsidRPr="00FC2515">
        <w:rPr>
          <w:rFonts w:eastAsia="Times New Roman"/>
        </w:rPr>
        <w:t xml:space="preserve">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</w:t>
      </w:r>
    </w:p>
    <w:p w:rsidR="00002835" w:rsidRPr="00FC2515" w:rsidRDefault="00002835" w:rsidP="00002835">
      <w:pPr>
        <w:jc w:val="both"/>
        <w:rPr>
          <w:rFonts w:eastAsia="Times New Roman"/>
        </w:rPr>
      </w:pPr>
      <w:r w:rsidRPr="00FC2515">
        <w:rPr>
          <w:rFonts w:eastAsia="Times New Roman"/>
        </w:rPr>
        <w:t xml:space="preserve">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</w:t>
      </w:r>
    </w:p>
    <w:p w:rsidR="00002835" w:rsidRPr="00FC2515" w:rsidRDefault="00002835" w:rsidP="00002835">
      <w:pPr>
        <w:jc w:val="both"/>
        <w:rPr>
          <w:rFonts w:eastAsia="Times New Roman"/>
        </w:rPr>
      </w:pPr>
      <w:r w:rsidRPr="00FC2515">
        <w:rPr>
          <w:rFonts w:eastAsia="Times New Roman"/>
        </w:rPr>
        <w:t>4.2. Осуществлять поставку Товара Получателям путем передачи Товара Получателям или их представителям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выдаваемого Заказчиком.</w:t>
      </w:r>
    </w:p>
    <w:p w:rsidR="00002835" w:rsidRPr="00FC2515" w:rsidRDefault="00002835" w:rsidP="00002835">
      <w:pPr>
        <w:jc w:val="both"/>
        <w:rPr>
          <w:rFonts w:eastAsia="Times New Roman"/>
        </w:rPr>
      </w:pPr>
      <w:r w:rsidRPr="00FC2515">
        <w:rPr>
          <w:rFonts w:eastAsia="Times New Roman"/>
        </w:rPr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(инвалида)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Товара представителю Получателя.</w:t>
      </w:r>
    </w:p>
    <w:p w:rsidR="00002835" w:rsidRPr="00FC2515" w:rsidRDefault="00002835" w:rsidP="00002835">
      <w:pPr>
        <w:jc w:val="both"/>
        <w:rPr>
          <w:rFonts w:ascii="Times New Roman CYR" w:eastAsia="Times New Roman" w:hAnsi="Times New Roman CYR" w:cs="Times New Roman CYR"/>
        </w:rPr>
      </w:pPr>
      <w:r w:rsidRPr="00FC2515">
        <w:rPr>
          <w:rFonts w:ascii="Times New Roman CYR" w:eastAsia="Times New Roman" w:hAnsi="Times New Roman CYR" w:cs="Times New Roman CYR"/>
        </w:rPr>
        <w:t xml:space="preserve">4.3. При работе с Получателями обеспечить соблюдение рекомендаций и санитарно-эпидемиологических требований </w:t>
      </w:r>
      <w:proofErr w:type="spellStart"/>
      <w:r w:rsidRPr="00FC2515">
        <w:rPr>
          <w:rFonts w:ascii="Times New Roman CYR" w:eastAsia="Times New Roman" w:hAnsi="Times New Roman CYR" w:cs="Times New Roman CYR"/>
        </w:rPr>
        <w:t>Роспотребнадзора</w:t>
      </w:r>
      <w:proofErr w:type="spellEnd"/>
      <w:r w:rsidRPr="00FC2515">
        <w:rPr>
          <w:rFonts w:ascii="Times New Roman CYR" w:eastAsia="Times New Roman" w:hAnsi="Times New Roman CYR" w:cs="Times New Roman CYR"/>
        </w:rPr>
        <w:t xml:space="preserve"> и исполнительных органов государственной власти Санкт-Петербурга и Ленинградской области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FC2515">
        <w:rPr>
          <w:rFonts w:ascii="Times New Roman CYR" w:eastAsia="Times New Roman" w:hAnsi="Times New Roman CYR" w:cs="Times New Roman CYR"/>
        </w:rPr>
        <w:t>коронавирусной</w:t>
      </w:r>
      <w:proofErr w:type="spellEnd"/>
      <w:r w:rsidRPr="00FC2515">
        <w:rPr>
          <w:rFonts w:ascii="Times New Roman CYR" w:eastAsia="Times New Roman" w:hAnsi="Times New Roman CYR" w:cs="Times New Roman CYR"/>
        </w:rPr>
        <w:t xml:space="preserve"> инфекции (COVID-19).</w:t>
      </w:r>
    </w:p>
    <w:p w:rsidR="00002835" w:rsidRPr="00FC2515" w:rsidRDefault="00002835" w:rsidP="00002835">
      <w:pPr>
        <w:jc w:val="both"/>
        <w:rPr>
          <w:rFonts w:ascii="Times New Roman CYR" w:eastAsia="Times New Roman" w:hAnsi="Times New Roman CYR" w:cs="Times New Roman CYR"/>
        </w:rPr>
      </w:pPr>
      <w:r w:rsidRPr="00FC2515">
        <w:rPr>
          <w:rFonts w:ascii="Times New Roman CYR" w:eastAsia="Times New Roman" w:hAnsi="Times New Roman CYR" w:cs="Times New Roman CYR"/>
        </w:rPr>
        <w:t xml:space="preserve">4.4. Обеспечить возможность выдачи Товара в пункте приема Получателей со дня, следующего за днем поступления Товара в Санкт-Петербург и Ленинградскую область в соответствии с календарным планом. В день, следующий за днем поступления Товара в Санкт-Петербург и Ленинградскую область в соответствии с календарным планом, на пункте (пунктах) приема Получателей (далее – пункт (пункты) приема Получателей) </w:t>
      </w:r>
      <w:r>
        <w:rPr>
          <w:rFonts w:ascii="Times New Roman CYR" w:eastAsia="Times New Roman" w:hAnsi="Times New Roman CYR" w:cs="Times New Roman CYR"/>
        </w:rPr>
        <w:t xml:space="preserve">ежедневно </w:t>
      </w:r>
      <w:r w:rsidRPr="00FC2515">
        <w:rPr>
          <w:rFonts w:ascii="Times New Roman CYR" w:eastAsia="Times New Roman" w:hAnsi="Times New Roman CYR" w:cs="Times New Roman CYR"/>
        </w:rPr>
        <w:t>должно находиться количество Товара в количестве достаточном для бесперебойной выдачи.</w:t>
      </w:r>
    </w:p>
    <w:p w:rsidR="00002835" w:rsidRPr="00FC2515" w:rsidRDefault="00002835" w:rsidP="00002835">
      <w:pPr>
        <w:jc w:val="both"/>
        <w:rPr>
          <w:rFonts w:ascii="Times New Roman CYR" w:eastAsia="Times New Roman" w:hAnsi="Times New Roman CYR" w:cs="Times New Roman CYR"/>
        </w:rPr>
      </w:pPr>
      <w:r w:rsidRPr="00FC2515">
        <w:rPr>
          <w:rFonts w:ascii="Times New Roman CYR" w:eastAsia="Times New Roman" w:hAnsi="Times New Roman CYR" w:cs="Times New Roman CYR"/>
        </w:rPr>
        <w:t>4.5. Давать справки Получателям по вопросам, связанным с поставкой Товара, а также осуществлять прием заявок на доставку по месту нахождения Получателя в часы работы пункта (пунктов) приема Получателей. Для звонков Получателей должен быть выделен телефонный номер. Информацию о телефонном номере Поставщик должен предоставить Заказчику не позднее 1</w:t>
      </w:r>
      <w:r>
        <w:rPr>
          <w:rFonts w:ascii="Times New Roman CYR" w:eastAsia="Times New Roman" w:hAnsi="Times New Roman CYR" w:cs="Times New Roman CYR"/>
        </w:rPr>
        <w:t xml:space="preserve"> (одного) рабочего</w:t>
      </w:r>
      <w:r w:rsidRPr="00FC2515">
        <w:rPr>
          <w:rFonts w:ascii="Times New Roman CYR" w:eastAsia="Times New Roman" w:hAnsi="Times New Roman CYR" w:cs="Times New Roman CYR"/>
        </w:rPr>
        <w:t xml:space="preserve"> дня с даты заключения государственного контракта.</w:t>
      </w:r>
    </w:p>
    <w:p w:rsidR="00002835" w:rsidRPr="00FC2515" w:rsidRDefault="00002835" w:rsidP="00002835">
      <w:pPr>
        <w:jc w:val="both"/>
        <w:rPr>
          <w:rFonts w:ascii="Times New Roman CYR" w:eastAsia="Times New Roman" w:hAnsi="Times New Roman CYR" w:cs="Times New Roman CYR"/>
        </w:rPr>
      </w:pPr>
      <w:r w:rsidRPr="00FC2515">
        <w:rPr>
          <w:rFonts w:ascii="Times New Roman CYR" w:eastAsia="Times New Roman" w:hAnsi="Times New Roman CYR" w:cs="Times New Roman CYR"/>
        </w:rPr>
        <w:lastRenderedPageBreak/>
        <w:t>Звонки с городских номеров Санкт-Петербурга и Ленинградской области должны быть бесплатными для Получателей, а именно: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связи, либо телефонного номера, не являющегося номером, обслуживаемым оператором сети местной телефонной связи Санкт-Петербурга и Ленинградской области; исключается возможность взимания оплаты за звонки Поставщиком.</w:t>
      </w:r>
    </w:p>
    <w:p w:rsidR="00002835" w:rsidRPr="00FC2515" w:rsidRDefault="00002835" w:rsidP="00002835">
      <w:pPr>
        <w:jc w:val="both"/>
        <w:rPr>
          <w:rFonts w:eastAsia="Times New Roman"/>
        </w:rPr>
      </w:pPr>
      <w:r w:rsidRPr="00FC2515">
        <w:rPr>
          <w:rFonts w:eastAsia="Times New Roman"/>
        </w:rPr>
        <w:t>4.6. Вести аудиозаписи телефонных разговоров с Получателями по вопросам получения Товара. По требованию Заказчика Поставщик обязан предоставлять такие аудиозаписи. Вести журнал телефонных звонков из реестра Получателей Товара (передается Заказчиком по мере формирования) с пометкой о времени звонка, результате звонка и выборе инвалидами способа, места и времени доставки Товара.</w:t>
      </w:r>
    </w:p>
    <w:p w:rsidR="00002835" w:rsidRPr="00FC2515" w:rsidRDefault="00002835" w:rsidP="00002835">
      <w:pPr>
        <w:jc w:val="both"/>
        <w:rPr>
          <w:rFonts w:eastAsia="Times New Roman"/>
        </w:rPr>
      </w:pPr>
      <w:r w:rsidRPr="00FC2515">
        <w:rPr>
          <w:rFonts w:eastAsia="Times New Roman"/>
        </w:rPr>
        <w:t>Предоставлять Заказчику в рамках подтверждения исполнения государственного контракта журнал телефонных звонков. Информировать Заказчика о невозможности предоставления Товара Получателю не позднее дня, следующего за днем доставки, согласованным с Получателем.</w:t>
      </w:r>
    </w:p>
    <w:p w:rsidR="00002835" w:rsidRPr="00FC2515" w:rsidRDefault="00002835" w:rsidP="00002835">
      <w:pPr>
        <w:jc w:val="both"/>
        <w:rPr>
          <w:rFonts w:eastAsia="Times New Roman"/>
        </w:rPr>
      </w:pPr>
      <w:r w:rsidRPr="00FC2515">
        <w:rPr>
          <w:rFonts w:eastAsia="Times New Roman"/>
        </w:rPr>
        <w:t xml:space="preserve">4.7.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</w:t>
      </w:r>
      <w:hyperlink r:id="rId5" w:history="1">
        <w:r w:rsidRPr="00FC2515">
          <w:rPr>
            <w:rFonts w:eastAsia="Times New Roman"/>
            <w:color w:val="0563C1" w:themeColor="hyperlink"/>
            <w:u w:val="single"/>
          </w:rPr>
          <w:t>osp@ro78.fss.ru</w:t>
        </w:r>
      </w:hyperlink>
      <w:r>
        <w:rPr>
          <w:rFonts w:eastAsia="Times New Roman"/>
        </w:rPr>
        <w:t>.</w:t>
      </w:r>
    </w:p>
    <w:p w:rsidR="00002835" w:rsidRPr="00FC2515" w:rsidRDefault="00002835" w:rsidP="00002835">
      <w:pPr>
        <w:autoSpaceDE w:val="0"/>
        <w:autoSpaceDN w:val="0"/>
        <w:adjustRightInd w:val="0"/>
        <w:spacing w:line="240" w:lineRule="atLeast"/>
        <w:jc w:val="both"/>
        <w:rPr>
          <w:rFonts w:eastAsia="Times New Roman"/>
        </w:rPr>
      </w:pPr>
      <w:r w:rsidRPr="00FC2515">
        <w:rPr>
          <w:rFonts w:eastAsia="Times New Roman"/>
        </w:rPr>
        <w:t xml:space="preserve">4.8. В случае привлечения к исполнению контракта соисполнителя в срок не позднее 1 (одного) рабочего дня со дня заключения контракта, предоставить Заказчику данные о соисполнителе: </w:t>
      </w:r>
    </w:p>
    <w:p w:rsidR="00002835" w:rsidRPr="00FC2515" w:rsidRDefault="00002835" w:rsidP="00002835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FC2515">
        <w:rPr>
          <w:rFonts w:eastAsia="Times New Roman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002835" w:rsidRPr="00FC2515" w:rsidRDefault="00002835" w:rsidP="00002835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FC2515">
        <w:rPr>
          <w:rFonts w:eastAsia="Times New Roman"/>
        </w:rPr>
        <w:t>фамилия, имя, отчество (при наличии), паспортные данные, место жительства (для физического лица);</w:t>
      </w:r>
    </w:p>
    <w:p w:rsidR="00002835" w:rsidRPr="00FC2515" w:rsidRDefault="00002835" w:rsidP="00002835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FC2515">
        <w:rPr>
          <w:rFonts w:eastAsia="Times New Roman"/>
        </w:rPr>
        <w:t>номер контактного телефона;</w:t>
      </w:r>
    </w:p>
    <w:p w:rsidR="00002835" w:rsidRPr="00FC2515" w:rsidRDefault="00002835" w:rsidP="00002835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FC2515">
        <w:rPr>
          <w:rFonts w:eastAsia="Times New Roman"/>
        </w:rPr>
        <w:t>адрес электронной почты;</w:t>
      </w:r>
    </w:p>
    <w:p w:rsidR="00002835" w:rsidRPr="00FC2515" w:rsidRDefault="00002835" w:rsidP="00002835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FC2515">
        <w:rPr>
          <w:rFonts w:eastAsia="Times New Roman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002835" w:rsidRPr="00FC2515" w:rsidRDefault="00002835" w:rsidP="00002835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FC2515">
        <w:rPr>
          <w:rFonts w:eastAsia="Times New Roman"/>
        </w:rPr>
        <w:t>перечень операций, выполняемых соисполнителем в рамках контракта;</w:t>
      </w:r>
    </w:p>
    <w:p w:rsidR="00002835" w:rsidRPr="00FC2515" w:rsidRDefault="00002835" w:rsidP="00002835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Calibri" w:eastAsia="Times New Roman" w:hAnsi="Calibri"/>
        </w:rPr>
      </w:pPr>
      <w:r w:rsidRPr="00FC2515">
        <w:rPr>
          <w:rFonts w:eastAsia="Times New Roman"/>
        </w:rPr>
        <w:t xml:space="preserve">срок </w:t>
      </w:r>
      <w:proofErr w:type="spellStart"/>
      <w:r w:rsidRPr="00FC2515">
        <w:rPr>
          <w:rFonts w:eastAsia="Times New Roman"/>
        </w:rPr>
        <w:t>соисполнительства</w:t>
      </w:r>
      <w:proofErr w:type="spellEnd"/>
      <w:r w:rsidRPr="00FC2515">
        <w:rPr>
          <w:rFonts w:eastAsia="Times New Roman"/>
        </w:rPr>
        <w:t>.</w:t>
      </w:r>
    </w:p>
    <w:p w:rsidR="00002835" w:rsidRPr="00FC2515" w:rsidRDefault="00002835" w:rsidP="00002835">
      <w:pPr>
        <w:autoSpaceDE w:val="0"/>
        <w:autoSpaceDN w:val="0"/>
        <w:adjustRightInd w:val="0"/>
        <w:spacing w:line="240" w:lineRule="atLeast"/>
        <w:jc w:val="both"/>
        <w:rPr>
          <w:rFonts w:eastAsia="Times New Roman"/>
        </w:rPr>
      </w:pPr>
      <w:r w:rsidRPr="00FC2515">
        <w:rPr>
          <w:rFonts w:eastAsia="Times New Roman"/>
        </w:rPr>
        <w:t>В случае привлечения соисполнителя во время исполнения контракта предоставить вышеперечисленные сведения в срок не позднее 1 (одного) рабочего дня со дня заключения договора между Поставщиком и соисполнителем.</w:t>
      </w:r>
    </w:p>
    <w:p w:rsidR="00002835" w:rsidRPr="00FC2515" w:rsidRDefault="00002835" w:rsidP="00002835">
      <w:pPr>
        <w:autoSpaceDE w:val="0"/>
        <w:autoSpaceDN w:val="0"/>
        <w:adjustRightInd w:val="0"/>
        <w:spacing w:line="240" w:lineRule="atLeast"/>
        <w:jc w:val="both"/>
        <w:rPr>
          <w:rFonts w:eastAsia="Times New Roman"/>
        </w:rPr>
      </w:pPr>
      <w:r w:rsidRPr="00FC2515">
        <w:rPr>
          <w:rFonts w:eastAsia="Times New Roman"/>
        </w:rPr>
        <w:t>При досрочном расторжении договора между Поставщиком и соисполнителем Поставщик должен уведомить об этом Заказчика в срок не позднее 1 (одного) рабочего дня со дня расторжения такого договора.</w:t>
      </w:r>
    </w:p>
    <w:p w:rsidR="00002835" w:rsidRPr="00FC2515" w:rsidRDefault="00002835" w:rsidP="00002835">
      <w:pPr>
        <w:autoSpaceDE w:val="0"/>
        <w:autoSpaceDN w:val="0"/>
        <w:adjustRightInd w:val="0"/>
        <w:spacing w:line="240" w:lineRule="atLeast"/>
        <w:jc w:val="both"/>
        <w:rPr>
          <w:rFonts w:eastAsia="Times New Roman"/>
        </w:rPr>
      </w:pPr>
      <w:r w:rsidRPr="00FC2515">
        <w:rPr>
          <w:rFonts w:eastAsia="Times New Roman"/>
        </w:rP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</w:t>
      </w:r>
      <w:hyperlink r:id="rId6" w:history="1">
        <w:r w:rsidRPr="00FC2515">
          <w:rPr>
            <w:rFonts w:eastAsia="Times New Roman"/>
            <w:color w:val="0000FF"/>
            <w:u w:val="single"/>
            <w:lang w:val="en-US"/>
          </w:rPr>
          <w:t>osp</w:t>
        </w:r>
        <w:r w:rsidRPr="00FC2515">
          <w:rPr>
            <w:rFonts w:eastAsia="Times New Roman"/>
            <w:color w:val="0000FF"/>
            <w:u w:val="single"/>
          </w:rPr>
          <w:t>@</w:t>
        </w:r>
        <w:r w:rsidRPr="00FC2515">
          <w:rPr>
            <w:rFonts w:eastAsia="Times New Roman"/>
            <w:color w:val="0000FF"/>
            <w:u w:val="single"/>
            <w:lang w:val="en-US"/>
          </w:rPr>
          <w:t>ro</w:t>
        </w:r>
        <w:r w:rsidRPr="00FC2515">
          <w:rPr>
            <w:rFonts w:eastAsia="Times New Roman"/>
            <w:color w:val="0000FF"/>
            <w:u w:val="single"/>
          </w:rPr>
          <w:t>78.</w:t>
        </w:r>
        <w:r w:rsidRPr="00FC2515">
          <w:rPr>
            <w:rFonts w:eastAsia="Times New Roman"/>
            <w:color w:val="0000FF"/>
            <w:u w:val="single"/>
            <w:lang w:val="en-US"/>
          </w:rPr>
          <w:t>fss</w:t>
        </w:r>
        <w:r w:rsidRPr="00FC2515">
          <w:rPr>
            <w:rFonts w:eastAsia="Times New Roman"/>
            <w:color w:val="0000FF"/>
            <w:u w:val="single"/>
          </w:rPr>
          <w:t>.</w:t>
        </w:r>
        <w:proofErr w:type="spellStart"/>
        <w:r w:rsidRPr="00FC251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FC2515">
        <w:rPr>
          <w:rFonts w:eastAsia="Times New Roman"/>
        </w:rPr>
        <w:t xml:space="preserve">. </w:t>
      </w:r>
    </w:p>
    <w:p w:rsidR="00002835" w:rsidRPr="00FC2515" w:rsidRDefault="00002835" w:rsidP="00002835">
      <w:pPr>
        <w:jc w:val="both"/>
        <w:rPr>
          <w:rFonts w:eastAsia="Times New Roman"/>
        </w:rPr>
      </w:pPr>
      <w:r w:rsidRPr="00FC2515">
        <w:rPr>
          <w:rFonts w:eastAsia="Times New Roman"/>
        </w:rPr>
        <w:t>5. Способ поставки:</w:t>
      </w:r>
    </w:p>
    <w:p w:rsidR="00002835" w:rsidRPr="00FC2515" w:rsidRDefault="00002835" w:rsidP="00002835">
      <w:pPr>
        <w:jc w:val="both"/>
        <w:rPr>
          <w:rFonts w:eastAsia="Times New Roman"/>
        </w:rPr>
      </w:pPr>
      <w:r w:rsidRPr="00FC2515">
        <w:rPr>
          <w:rFonts w:eastAsia="Times New Roman"/>
        </w:rPr>
        <w:t>5.1. Поставщик передает Получателям Товар следующими способами:</w:t>
      </w:r>
    </w:p>
    <w:p w:rsidR="00002835" w:rsidRPr="00FC2515" w:rsidRDefault="00002835" w:rsidP="00002835">
      <w:pPr>
        <w:jc w:val="both"/>
        <w:rPr>
          <w:rFonts w:eastAsia="Times New Roman"/>
        </w:rPr>
      </w:pPr>
      <w:r w:rsidRPr="00FC2515">
        <w:rPr>
          <w:rFonts w:eastAsia="Times New Roman"/>
        </w:rPr>
        <w:t>-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002835" w:rsidRPr="00FC2515" w:rsidRDefault="00002835" w:rsidP="00002835">
      <w:pPr>
        <w:jc w:val="both"/>
        <w:rPr>
          <w:rFonts w:eastAsia="Times New Roman"/>
        </w:rPr>
      </w:pPr>
      <w:r w:rsidRPr="00FC2515">
        <w:rPr>
          <w:rFonts w:eastAsia="Times New Roman"/>
        </w:rPr>
        <w:t xml:space="preserve">- в пункте (пунктах) приема </w:t>
      </w:r>
      <w:r w:rsidRPr="00E36267">
        <w:rPr>
          <w:rFonts w:eastAsia="Times New Roman"/>
        </w:rPr>
        <w:t>Получателей</w:t>
      </w:r>
      <w:r w:rsidRPr="00FC2515">
        <w:rPr>
          <w:rFonts w:eastAsia="Times New Roman"/>
        </w:rPr>
        <w:t>, организованных Поставщиком.</w:t>
      </w:r>
    </w:p>
    <w:p w:rsidR="00002835" w:rsidRPr="00FC2515" w:rsidRDefault="00002835" w:rsidP="00002835">
      <w:pPr>
        <w:jc w:val="both"/>
        <w:rPr>
          <w:rFonts w:eastAsia="Times New Roman"/>
        </w:rPr>
      </w:pPr>
      <w:r w:rsidRPr="00FC2515">
        <w:rPr>
          <w:rFonts w:eastAsia="Times New Roman"/>
        </w:rPr>
        <w:t>Поставщик обязан предоставлять Получателям право выбора способа получения Товара.</w:t>
      </w:r>
    </w:p>
    <w:p w:rsidR="00002835" w:rsidRPr="00FC2515" w:rsidRDefault="00002835" w:rsidP="00002835">
      <w:pPr>
        <w:jc w:val="both"/>
        <w:rPr>
          <w:rFonts w:eastAsia="Times New Roman"/>
        </w:rPr>
      </w:pPr>
      <w:r w:rsidRPr="00FC2515">
        <w:rPr>
          <w:rFonts w:eastAsia="Times New Roman"/>
        </w:rPr>
        <w:lastRenderedPageBreak/>
        <w:t xml:space="preserve">Доставка Товара по месту жительства (месту пребывания, фактического проживания) Получателя в том числе службой доставки (почтовым отправлением) осуществляется за счет собственных средств </w:t>
      </w:r>
      <w:r>
        <w:rPr>
          <w:rFonts w:eastAsia="Times New Roman"/>
        </w:rPr>
        <w:t>Поставщика.</w:t>
      </w:r>
    </w:p>
    <w:p w:rsidR="00002835" w:rsidRPr="00363805" w:rsidRDefault="00002835" w:rsidP="00002835">
      <w:pPr>
        <w:jc w:val="both"/>
        <w:rPr>
          <w:rFonts w:eastAsia="Times New Roman"/>
        </w:rPr>
      </w:pPr>
      <w:r w:rsidRPr="00FC2515">
        <w:rPr>
          <w:rFonts w:eastAsia="Times New Roman"/>
        </w:rPr>
        <w:t xml:space="preserve">5.2. </w:t>
      </w:r>
      <w:r w:rsidRPr="00E36267">
        <w:rPr>
          <w:rFonts w:eastAsia="Times New Roman"/>
        </w:rPr>
        <w:t>В целях реализации возможности получения</w:t>
      </w:r>
      <w:r>
        <w:rPr>
          <w:rFonts w:eastAsia="Times New Roman"/>
        </w:rPr>
        <w:t xml:space="preserve"> Товара </w:t>
      </w:r>
      <w:r w:rsidRPr="00E36267">
        <w:rPr>
          <w:rFonts w:eastAsia="Times New Roman"/>
        </w:rPr>
        <w:t xml:space="preserve">Получателем через пункт (пункты) приема Получателей и недопущения длительного ожидания в очереди при получении </w:t>
      </w:r>
      <w:r>
        <w:rPr>
          <w:rFonts w:eastAsia="Times New Roman"/>
        </w:rPr>
        <w:t>Товара Поставщик</w:t>
      </w:r>
      <w:r w:rsidRPr="00E36267">
        <w:rPr>
          <w:rFonts w:eastAsia="Times New Roman"/>
        </w:rPr>
        <w:t xml:space="preserve"> </w:t>
      </w:r>
      <w:r w:rsidRPr="00363805">
        <w:rPr>
          <w:rFonts w:eastAsia="Times New Roman"/>
        </w:rPr>
        <w:t>должен организовать не менее 1 (одного) пункта приема</w:t>
      </w:r>
      <w:r>
        <w:rPr>
          <w:rFonts w:eastAsia="Times New Roman"/>
        </w:rPr>
        <w:t xml:space="preserve"> Получателей</w:t>
      </w:r>
      <w:r w:rsidRPr="00363805">
        <w:rPr>
          <w:rFonts w:eastAsia="Times New Roman"/>
        </w:rPr>
        <w:t xml:space="preserve"> на территории Санкт-Петербурга в срок не позднее 1 (одного) рабочего дня с даты заключения государственного контракта, которы</w:t>
      </w:r>
      <w:r>
        <w:rPr>
          <w:rFonts w:eastAsia="Times New Roman"/>
        </w:rPr>
        <w:t>й</w:t>
      </w:r>
      <w:r w:rsidRPr="00363805">
        <w:rPr>
          <w:rFonts w:eastAsia="Times New Roman"/>
        </w:rPr>
        <w:t xml:space="preserve"> долж</w:t>
      </w:r>
      <w:r>
        <w:rPr>
          <w:rFonts w:eastAsia="Times New Roman"/>
        </w:rPr>
        <w:t xml:space="preserve">ен </w:t>
      </w:r>
      <w:r w:rsidRPr="00363805">
        <w:rPr>
          <w:rFonts w:eastAsia="Times New Roman"/>
        </w:rPr>
        <w:t>действовать до конца выдачи Товара, согласно условиям Технического задания.</w:t>
      </w:r>
    </w:p>
    <w:p w:rsidR="00002835" w:rsidRPr="00E36267" w:rsidRDefault="00002835" w:rsidP="00002835">
      <w:pPr>
        <w:jc w:val="both"/>
        <w:rPr>
          <w:rFonts w:eastAsia="Times New Roman"/>
        </w:rPr>
      </w:pPr>
      <w:r>
        <w:rPr>
          <w:rFonts w:eastAsia="Times New Roman"/>
        </w:rPr>
        <w:t>Один из п</w:t>
      </w:r>
      <w:r w:rsidRPr="00E36267">
        <w:rPr>
          <w:rFonts w:eastAsia="Times New Roman"/>
        </w:rPr>
        <w:t>ункт</w:t>
      </w:r>
      <w:r>
        <w:rPr>
          <w:rFonts w:eastAsia="Times New Roman"/>
        </w:rPr>
        <w:t xml:space="preserve">ов </w:t>
      </w:r>
      <w:r w:rsidRPr="00E36267">
        <w:rPr>
          <w:rFonts w:eastAsia="Times New Roman"/>
        </w:rPr>
        <w:t>приема Получателей, организованны</w:t>
      </w:r>
      <w:r>
        <w:rPr>
          <w:rFonts w:eastAsia="Times New Roman"/>
        </w:rPr>
        <w:t>й</w:t>
      </w:r>
      <w:r w:rsidRPr="00E36267">
        <w:rPr>
          <w:rFonts w:eastAsia="Times New Roman"/>
        </w:rPr>
        <w:t xml:space="preserve"> на территории Санкт-Петербурга, долж</w:t>
      </w:r>
      <w:r>
        <w:rPr>
          <w:rFonts w:eastAsia="Times New Roman"/>
        </w:rPr>
        <w:t>ен</w:t>
      </w:r>
      <w:r w:rsidRPr="00E36267">
        <w:rPr>
          <w:rFonts w:eastAsia="Times New Roman"/>
        </w:rPr>
        <w:t xml:space="preserve"> быть расположен в пешей доступности от станции метрополитена (под пешей доступностью, в силу п. 11.24. СП 42.13330.2016 «Градостроительство. Планировка и застройка городских и сельских поселений. Актуализированная редакция СНиП 2.07.01-89», принимается расстояние в 500 метров). В связи с отсутствием указания на конкретный вид транспорта в п. 11.24 СП 42.13330.2016 для однозначного толкования всеми участниками закупки Заказчик определил термин «остановка общественного транспорта» станцию метрополитена. Метрополитен является наиболее удобным и разветвленным видом транспорта в городе Санкт-Петербург, обеспечивающим безопасную и комфортную перевозку пассажиров всех категорий, в том числе отвечающую требованиям по обеспечению доступа инвалидов и иных маломобильных граждан.</w:t>
      </w:r>
    </w:p>
    <w:p w:rsidR="00002835" w:rsidRPr="00E36267" w:rsidRDefault="00002835" w:rsidP="00002835">
      <w:pPr>
        <w:jc w:val="both"/>
        <w:rPr>
          <w:rFonts w:eastAsia="Times New Roman"/>
        </w:rPr>
      </w:pPr>
      <w:r w:rsidRPr="00E36267">
        <w:rPr>
          <w:rFonts w:eastAsia="Times New Roman"/>
        </w:rPr>
        <w:t>В соответствии с частью 2 статьи 12 Федерального закона от 30.12.2009 №384-ФЗ «Технический регламент о безопасности зданий и сооружений»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002835" w:rsidRDefault="00002835" w:rsidP="00002835">
      <w:pPr>
        <w:jc w:val="both"/>
        <w:rPr>
          <w:rFonts w:eastAsia="Times New Roman"/>
        </w:rPr>
      </w:pPr>
      <w:r w:rsidRPr="00E36267">
        <w:rPr>
          <w:rFonts w:eastAsia="Times New Roman"/>
        </w:rPr>
        <w:t>В городе Санкт-Петербург таким объектом транспортной инфраструктуры, отвечающим установленным требованиям, является метрополитен.</w:t>
      </w:r>
    </w:p>
    <w:p w:rsidR="00002835" w:rsidRDefault="00002835" w:rsidP="00002835">
      <w:pPr>
        <w:jc w:val="both"/>
        <w:rPr>
          <w:rFonts w:eastAsia="Times New Roman"/>
        </w:rPr>
      </w:pPr>
      <w:r w:rsidRPr="004F76D5">
        <w:rPr>
          <w:color w:val="000000"/>
        </w:rPr>
        <w:t xml:space="preserve">Поставщик вправе организовать дополнительные </w:t>
      </w:r>
      <w:r>
        <w:rPr>
          <w:color w:val="000000"/>
        </w:rPr>
        <w:t>п</w:t>
      </w:r>
      <w:r w:rsidRPr="004F76D5">
        <w:rPr>
          <w:color w:val="000000"/>
        </w:rPr>
        <w:t>ункты приема Получателей в Ленинградской области. Пункты приема Получателей должны быть организованы в различных районах Санкт-Петербурга и Ленинградской области.</w:t>
      </w:r>
    </w:p>
    <w:p w:rsidR="00002835" w:rsidRPr="00E36267" w:rsidRDefault="00002835" w:rsidP="00002835">
      <w:pPr>
        <w:jc w:val="both"/>
        <w:rPr>
          <w:rFonts w:eastAsia="Times New Roman"/>
        </w:rPr>
      </w:pPr>
      <w:r w:rsidRPr="00E36267">
        <w:rPr>
          <w:rFonts w:eastAsia="Times New Roman"/>
        </w:rPr>
        <w:t>Пункты приема Получателей, организованные на территории Ленинградской области должны находиться в пешей доступности от остановок общественного транспорта (под пешей доступностью, в силу п. 11.24. СП 42.13330.2016 «Градостроительство. Планировка и застройка городских и сельских поселений. Актуализированная редакция СНиП 2.07.01-89», принимается расстояние в 500 метров).</w:t>
      </w:r>
    </w:p>
    <w:p w:rsidR="00002835" w:rsidRPr="00E36267" w:rsidRDefault="00002835" w:rsidP="00002835">
      <w:pPr>
        <w:jc w:val="both"/>
        <w:rPr>
          <w:rFonts w:eastAsia="Times New Roman"/>
        </w:rPr>
      </w:pPr>
      <w:r w:rsidRPr="00E36267">
        <w:rPr>
          <w:rFonts w:eastAsia="Times New Roman"/>
        </w:rPr>
        <w:t xml:space="preserve">Требования к организации пунктов приема Получателей </w:t>
      </w:r>
      <w:r>
        <w:rPr>
          <w:rFonts w:eastAsia="Times New Roman"/>
        </w:rPr>
        <w:t>Товара</w:t>
      </w:r>
      <w:r w:rsidRPr="00E36267">
        <w:rPr>
          <w:rFonts w:eastAsia="Times New Roman"/>
        </w:rPr>
        <w:t xml:space="preserve"> установлены в техническом задании исходя из необходимости обеспечить доступные транспортные условия для инвалидов из любой части города Санкт-Петербурга или Ленинградской области. </w:t>
      </w:r>
    </w:p>
    <w:p w:rsidR="00002835" w:rsidRDefault="00002835" w:rsidP="00002835">
      <w:pPr>
        <w:jc w:val="both"/>
        <w:rPr>
          <w:rFonts w:eastAsia="Times New Roman"/>
        </w:rPr>
      </w:pPr>
      <w:r w:rsidRPr="00E36267">
        <w:rPr>
          <w:rFonts w:eastAsia="Times New Roman"/>
        </w:rPr>
        <w:t>Не позднее 1 (одного) рабочего дня с даты заключ</w:t>
      </w:r>
      <w:r>
        <w:rPr>
          <w:rFonts w:eastAsia="Times New Roman"/>
        </w:rPr>
        <w:t xml:space="preserve">ения государственного контракта Поставщик </w:t>
      </w:r>
      <w:r w:rsidRPr="00E36267">
        <w:rPr>
          <w:rFonts w:eastAsia="Times New Roman"/>
        </w:rPr>
        <w:t xml:space="preserve">должен предоставить Заказчику информацию об адресе пункта (пунктов) приема Получателей, графике работы пункта (пунктов) приема Получателей, контактном телефоне. </w:t>
      </w:r>
    </w:p>
    <w:p w:rsidR="00002835" w:rsidRDefault="00002835" w:rsidP="00002835">
      <w:pPr>
        <w:jc w:val="both"/>
        <w:rPr>
          <w:rFonts w:eastAsia="Times New Roman"/>
        </w:rPr>
      </w:pPr>
      <w:r w:rsidRPr="00E36267">
        <w:rPr>
          <w:rFonts w:eastAsia="Times New Roman"/>
        </w:rPr>
        <w:t xml:space="preserve">Не позднее 1 (одного) рабочего дня с даты заключения государственного контракта </w:t>
      </w:r>
      <w:r>
        <w:rPr>
          <w:rFonts w:eastAsia="Times New Roman"/>
        </w:rPr>
        <w:t>Поставщик</w:t>
      </w:r>
      <w:r w:rsidRPr="00E36267">
        <w:rPr>
          <w:rFonts w:eastAsia="Times New Roman"/>
        </w:rPr>
        <w:t xml:space="preserve"> передает Заказчику копии документов, подтверждающих право </w:t>
      </w:r>
      <w:r>
        <w:rPr>
          <w:rFonts w:eastAsia="Times New Roman"/>
        </w:rPr>
        <w:t xml:space="preserve">Поставщика </w:t>
      </w:r>
      <w:r w:rsidRPr="00E36267">
        <w:rPr>
          <w:rFonts w:eastAsia="Times New Roman"/>
        </w:rPr>
        <w:t xml:space="preserve">использовать помещения пункта (пунктов) приема Получателей, заверенные </w:t>
      </w:r>
      <w:r>
        <w:rPr>
          <w:rFonts w:eastAsia="Times New Roman"/>
        </w:rPr>
        <w:t>Поставщиком</w:t>
      </w:r>
      <w:r w:rsidRPr="00E36267">
        <w:rPr>
          <w:rFonts w:eastAsia="Times New Roman"/>
        </w:rPr>
        <w:t xml:space="preserve"> надлежащим образом. Документы должны быть предоставлены на бумажном носителе сопроводительным письмом с приложением.</w:t>
      </w:r>
    </w:p>
    <w:p w:rsidR="00002835" w:rsidRPr="00FC2515" w:rsidRDefault="00002835" w:rsidP="00002835">
      <w:pPr>
        <w:jc w:val="both"/>
        <w:rPr>
          <w:rFonts w:eastAsia="Times New Roman"/>
          <w:color w:val="000000"/>
        </w:rPr>
      </w:pPr>
      <w:r w:rsidRPr="00E36267">
        <w:rPr>
          <w:rFonts w:eastAsia="Times New Roman"/>
        </w:rPr>
        <w:t>5.3. Постав</w:t>
      </w:r>
      <w:r>
        <w:rPr>
          <w:rFonts w:eastAsia="Times New Roman"/>
        </w:rPr>
        <w:t>щик обязан предоставить доступны</w:t>
      </w:r>
      <w:r w:rsidRPr="00E36267">
        <w:rPr>
          <w:rFonts w:eastAsia="Times New Roman"/>
        </w:rPr>
        <w:t>е для людей с инвалидностью помещени</w:t>
      </w:r>
      <w:r>
        <w:rPr>
          <w:rFonts w:eastAsia="Times New Roman"/>
        </w:rPr>
        <w:t>я</w:t>
      </w:r>
      <w:r w:rsidRPr="00E36267">
        <w:rPr>
          <w:rFonts w:eastAsia="Times New Roman"/>
        </w:rPr>
        <w:t xml:space="preserve"> под размещение пункта (пунктов) приема Получате</w:t>
      </w:r>
      <w:r>
        <w:rPr>
          <w:rFonts w:eastAsia="Times New Roman"/>
        </w:rPr>
        <w:t xml:space="preserve">лей в соответствии со статьей </w:t>
      </w:r>
      <w:r w:rsidRPr="00E36267">
        <w:rPr>
          <w:rFonts w:eastAsia="Times New Roman"/>
        </w:rPr>
        <w:t xml:space="preserve">15 </w:t>
      </w:r>
      <w:r w:rsidRPr="00E36267">
        <w:rPr>
          <w:rFonts w:eastAsia="Times New Roman"/>
        </w:rPr>
        <w:lastRenderedPageBreak/>
        <w:t>Федерального закона от 24.11.1995 № 181 «О</w:t>
      </w:r>
      <w:r w:rsidRPr="00FC2515">
        <w:rPr>
          <w:rFonts w:eastAsia="Times New Roman"/>
          <w:color w:val="000000"/>
        </w:rPr>
        <w:t xml:space="preserve"> социальной защите инвалидов в Российской Федерации.</w:t>
      </w:r>
    </w:p>
    <w:p w:rsidR="00002835" w:rsidRPr="00FC2515" w:rsidRDefault="00002835" w:rsidP="00002835">
      <w:pPr>
        <w:suppressAutoHyphens/>
        <w:jc w:val="both"/>
        <w:rPr>
          <w:rFonts w:eastAsia="Times New Roman"/>
        </w:rPr>
      </w:pPr>
      <w:r w:rsidRPr="00FC2515">
        <w:rPr>
          <w:rFonts w:eastAsia="Times New Roman"/>
        </w:rPr>
        <w:t>Вход в каждый пункт (пункты) приема</w:t>
      </w:r>
      <w:r w:rsidRPr="00FC2515">
        <w:rPr>
          <w:rFonts w:ascii="Times New Roman CYR" w:eastAsia="Times New Roman" w:hAnsi="Times New Roman CYR" w:cs="Times New Roman CYR"/>
        </w:rPr>
        <w:t xml:space="preserve"> Получателей</w:t>
      </w:r>
      <w:r w:rsidRPr="00FC2515">
        <w:rPr>
          <w:rFonts w:eastAsia="Times New Roman"/>
        </w:rPr>
        <w:t xml:space="preserve"> должен быть обозначен надписью (например, "Пункт выдачи ТСР для инвалидов"), позволяющей однозначно определить место нахождения указанного пункта (пунктов). Проход в пункт (пункты) приема</w:t>
      </w:r>
      <w:r w:rsidRPr="00FC2515">
        <w:rPr>
          <w:rFonts w:ascii="Times New Roman CYR" w:eastAsia="Times New Roman" w:hAnsi="Times New Roman CYR" w:cs="Times New Roman CYR"/>
        </w:rPr>
        <w:t xml:space="preserve"> Получателей</w:t>
      </w:r>
      <w:r w:rsidRPr="00FC2515">
        <w:rPr>
          <w:rFonts w:eastAsia="Times New Roman"/>
        </w:rPr>
        <w:t xml:space="preserve"> и передвижение по ним должны быть беспрепятственны для инвалидов (в случае необходимости, пункты приема</w:t>
      </w:r>
      <w:r w:rsidRPr="00FC2515">
        <w:rPr>
          <w:rFonts w:ascii="Times New Roman CYR" w:eastAsia="Times New Roman" w:hAnsi="Times New Roman CYR" w:cs="Times New Roman CYR"/>
        </w:rPr>
        <w:t xml:space="preserve"> Получателей</w:t>
      </w:r>
      <w:r w:rsidRPr="00FC2515">
        <w:rPr>
          <w:rFonts w:eastAsia="Times New Roman"/>
        </w:rPr>
        <w:t xml:space="preserve"> должны быть оборудованы пандусами для облегчения передвижения инвалидов и соответствовать требованиям СП 59.13330.2020 «Доступность зданий и сооружений для маломобильных групп населения». Поставщиком должна быть обеспечена возможность самостоятельного передвижения инвалидов по территории пункта (</w:t>
      </w:r>
      <w:r w:rsidRPr="00FC2515">
        <w:rPr>
          <w:rFonts w:eastAsia="Times New Roman"/>
          <w:lang w:eastAsia="ar-SA"/>
        </w:rPr>
        <w:t>пунктов) приема</w:t>
      </w:r>
      <w:r w:rsidRPr="00FC2515">
        <w:rPr>
          <w:rFonts w:ascii="Times New Roman CYR" w:eastAsia="Times New Roman" w:hAnsi="Times New Roman CYR" w:cs="Times New Roman CYR"/>
        </w:rPr>
        <w:t xml:space="preserve"> Получателей</w:t>
      </w:r>
      <w:r w:rsidRPr="00FC2515">
        <w:rPr>
          <w:rFonts w:eastAsia="Times New Roman"/>
        </w:rPr>
        <w:t>, в том числе с помощью его работников, а также сменного кресла-коляски.</w:t>
      </w:r>
    </w:p>
    <w:p w:rsidR="00002835" w:rsidRPr="00FC2515" w:rsidRDefault="00002835" w:rsidP="00002835">
      <w:pPr>
        <w:suppressAutoHyphens/>
        <w:jc w:val="both"/>
        <w:rPr>
          <w:rFonts w:eastAsia="Times New Roman"/>
        </w:rPr>
      </w:pPr>
      <w:r w:rsidRPr="00FC2515">
        <w:rPr>
          <w:rFonts w:eastAsia="Times New Roman"/>
          <w:b/>
        </w:rPr>
        <w:t>Входная группа</w:t>
      </w:r>
      <w:r w:rsidRPr="00FC2515">
        <w:rPr>
          <w:rFonts w:eastAsia="Times New Roman"/>
        </w:rPr>
        <w:t xml:space="preserve"> </w:t>
      </w:r>
    </w:p>
    <w:p w:rsidR="00002835" w:rsidRPr="00FC2515" w:rsidRDefault="00002835" w:rsidP="00002835">
      <w:pPr>
        <w:suppressAutoHyphens/>
        <w:jc w:val="both"/>
        <w:rPr>
          <w:rFonts w:eastAsia="Times New Roman"/>
        </w:rPr>
      </w:pPr>
      <w:r w:rsidRPr="00FC2515">
        <w:rPr>
          <w:rFonts w:eastAsia="Times New Roman"/>
        </w:rPr>
        <w:t>При перепадах высот Поставщик должен учитывать наличие следующих элементов:</w:t>
      </w:r>
    </w:p>
    <w:p w:rsidR="00002835" w:rsidRPr="00FC2515" w:rsidRDefault="00002835" w:rsidP="00002835">
      <w:pPr>
        <w:suppressAutoHyphens/>
        <w:jc w:val="both"/>
        <w:rPr>
          <w:rFonts w:eastAsia="Times New Roman"/>
        </w:rPr>
      </w:pPr>
      <w:r w:rsidRPr="00FC2515">
        <w:rPr>
          <w:rFonts w:eastAsia="Times New Roman"/>
        </w:rPr>
        <w:t>- Пандус с поручнями;</w:t>
      </w:r>
    </w:p>
    <w:p w:rsidR="00002835" w:rsidRPr="00FC2515" w:rsidRDefault="00002835" w:rsidP="00002835">
      <w:pPr>
        <w:suppressAutoHyphens/>
        <w:jc w:val="both"/>
        <w:rPr>
          <w:rFonts w:eastAsia="Times New Roman"/>
        </w:rPr>
      </w:pPr>
      <w:r w:rsidRPr="00FC2515">
        <w:rPr>
          <w:rFonts w:eastAsia="Times New Roman"/>
        </w:rPr>
        <w:t>(в соответствии с п. 5.1.14 – п. 5.1.16; п. 6.1.2 – п. 6.1.4; п. 6.2.9 – п. 6.2.11 СП 59.13330.2020);</w:t>
      </w:r>
    </w:p>
    <w:p w:rsidR="00002835" w:rsidRPr="00FC2515" w:rsidRDefault="00002835" w:rsidP="00002835">
      <w:pPr>
        <w:suppressAutoHyphens/>
        <w:jc w:val="both"/>
        <w:rPr>
          <w:rFonts w:eastAsia="Times New Roman"/>
        </w:rPr>
      </w:pPr>
      <w:r w:rsidRPr="00FC2515">
        <w:rPr>
          <w:rFonts w:eastAsia="Times New Roman"/>
        </w:rPr>
        <w:t>Пандус должен иметь нормативный угол наклона, непрерывное двухстороннее ограждение с поручнями шириной не более 0,9-1,0 метра, высотой нижних поручней 0,7 м, а верхних 0,9 м.</w:t>
      </w:r>
    </w:p>
    <w:p w:rsidR="00002835" w:rsidRPr="00FC2515" w:rsidRDefault="00002835" w:rsidP="00002835">
      <w:pPr>
        <w:suppressAutoHyphens/>
        <w:jc w:val="both"/>
        <w:rPr>
          <w:rFonts w:eastAsia="Times New Roman"/>
        </w:rPr>
      </w:pPr>
      <w:r w:rsidRPr="00FC2515">
        <w:rPr>
          <w:rFonts w:eastAsia="Times New Roman"/>
        </w:rPr>
        <w:t>- Лестница с поручнями;</w:t>
      </w:r>
    </w:p>
    <w:p w:rsidR="00002835" w:rsidRPr="00FC2515" w:rsidRDefault="00002835" w:rsidP="00002835">
      <w:pPr>
        <w:autoSpaceDE w:val="0"/>
        <w:autoSpaceDN w:val="0"/>
        <w:adjustRightInd w:val="0"/>
        <w:jc w:val="both"/>
        <w:rPr>
          <w:rFonts w:eastAsia="Times New Roman"/>
        </w:rPr>
      </w:pPr>
      <w:r w:rsidRPr="00FC2515">
        <w:rPr>
          <w:rFonts w:eastAsia="Times New Roman"/>
        </w:rPr>
        <w:t xml:space="preserve">Вдоль обеих сторон всех пандусов и открытых лестниц необходимо устанавливать ограждения с поручнями. Поручни следует располагать на высоте 0,9 м (в соответствии с п. 6.2.11 СП 59.13330.2020). </w:t>
      </w:r>
    </w:p>
    <w:p w:rsidR="00002835" w:rsidRPr="00FC2515" w:rsidRDefault="00002835" w:rsidP="00002835">
      <w:pPr>
        <w:suppressAutoHyphens/>
        <w:jc w:val="both"/>
        <w:rPr>
          <w:rFonts w:eastAsia="Times New Roman"/>
        </w:rPr>
      </w:pPr>
      <w:r w:rsidRPr="00FC2515">
        <w:rPr>
          <w:rFonts w:eastAsia="Times New Roman"/>
        </w:rPr>
        <w:t>Краевые ступени (плоскость) лестниц необходимо обеспечить противоскользящими контрастными полосами общей шириной 0,08-0.1м. (в соответствии с п. 6.2.8 СП 59.13330.2020)</w:t>
      </w:r>
    </w:p>
    <w:p w:rsidR="00002835" w:rsidRPr="00FC2515" w:rsidRDefault="00002835" w:rsidP="00002835">
      <w:pPr>
        <w:suppressAutoHyphens/>
        <w:jc w:val="both"/>
        <w:rPr>
          <w:rFonts w:eastAsia="Times New Roman"/>
        </w:rPr>
      </w:pPr>
      <w:r w:rsidRPr="00FC2515">
        <w:rPr>
          <w:rFonts w:eastAsia="Times New Roman"/>
        </w:rPr>
        <w:t>Применение для инвалидов вместо пандусов аппарелей не допускается на объекте (в соответствии с п. 6.1.2 СП 59.13330.2020).</w:t>
      </w:r>
    </w:p>
    <w:p w:rsidR="00002835" w:rsidRPr="00FC2515" w:rsidRDefault="00002835" w:rsidP="00002835">
      <w:pPr>
        <w:suppressAutoHyphens/>
        <w:jc w:val="both"/>
        <w:rPr>
          <w:rFonts w:eastAsia="Times New Roman"/>
          <w:color w:val="000000"/>
        </w:rPr>
      </w:pPr>
      <w:r w:rsidRPr="00FC2515">
        <w:rPr>
          <w:rFonts w:eastAsia="Times New Roman"/>
          <w:color w:val="000000"/>
        </w:rPr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м. (</w:t>
      </w:r>
      <w:r w:rsidRPr="00FC2515">
        <w:rPr>
          <w:rFonts w:eastAsia="Times New Roman"/>
        </w:rPr>
        <w:t xml:space="preserve">в соответствии с </w:t>
      </w:r>
      <w:r w:rsidRPr="00FC2515">
        <w:rPr>
          <w:rFonts w:eastAsia="Times New Roman"/>
          <w:color w:val="000000"/>
        </w:rPr>
        <w:t>п.6.1.5, п. 6.1.6, п.6.2.4 СП 59.13330.2020)</w:t>
      </w:r>
    </w:p>
    <w:p w:rsidR="00002835" w:rsidRPr="00FC2515" w:rsidRDefault="00002835" w:rsidP="00002835">
      <w:pPr>
        <w:suppressAutoHyphens/>
        <w:jc w:val="both"/>
        <w:rPr>
          <w:rFonts w:eastAsia="Times New Roman"/>
        </w:rPr>
      </w:pPr>
      <w:r w:rsidRPr="00FC2515">
        <w:rPr>
          <w:rFonts w:eastAsia="Times New Roman"/>
        </w:rPr>
        <w:t>- Тактильно-контрастные указатели;</w:t>
      </w:r>
    </w:p>
    <w:p w:rsidR="00002835" w:rsidRPr="00FC2515" w:rsidRDefault="00002835" w:rsidP="00002835">
      <w:pPr>
        <w:suppressAutoHyphens/>
        <w:jc w:val="both"/>
        <w:rPr>
          <w:rFonts w:eastAsia="Times New Roman"/>
        </w:rPr>
      </w:pPr>
      <w:r w:rsidRPr="00FC2515">
        <w:rPr>
          <w:rFonts w:eastAsia="Times New Roman"/>
        </w:rP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указатели. (в соответствии с п. 5.1.10 СП 59.13330.2020).</w:t>
      </w:r>
    </w:p>
    <w:p w:rsidR="00002835" w:rsidRPr="00FC2515" w:rsidRDefault="00002835" w:rsidP="00002835">
      <w:pPr>
        <w:suppressAutoHyphens/>
        <w:jc w:val="both"/>
        <w:rPr>
          <w:rFonts w:eastAsia="Times New Roman"/>
          <w:b/>
        </w:rPr>
      </w:pPr>
      <w:r w:rsidRPr="00FC2515">
        <w:rPr>
          <w:rFonts w:eastAsia="Times New Roman"/>
          <w:b/>
        </w:rPr>
        <w:t>Пути движения внутри пункта (пунктов)</w:t>
      </w:r>
    </w:p>
    <w:p w:rsidR="00002835" w:rsidRPr="00FC2515" w:rsidRDefault="00002835" w:rsidP="00002835">
      <w:pPr>
        <w:suppressAutoHyphens/>
        <w:jc w:val="both"/>
        <w:rPr>
          <w:rFonts w:eastAsia="Times New Roman"/>
        </w:rPr>
      </w:pPr>
      <w:r w:rsidRPr="00FC2515">
        <w:rPr>
          <w:rFonts w:eastAsia="Times New Roman"/>
        </w:rPr>
        <w:t>При перепадах высот Поставщик должен учитывать наличие следующих элементов:</w:t>
      </w:r>
    </w:p>
    <w:p w:rsidR="00002835" w:rsidRPr="00FC2515" w:rsidRDefault="00002835" w:rsidP="00002835">
      <w:pPr>
        <w:suppressAutoHyphens/>
        <w:jc w:val="both"/>
        <w:rPr>
          <w:rFonts w:eastAsia="Times New Roman"/>
        </w:rPr>
      </w:pPr>
      <w:r w:rsidRPr="00FC2515">
        <w:rPr>
          <w:rFonts w:eastAsia="Times New Roman"/>
        </w:rPr>
        <w:t xml:space="preserve">- Лифт, подъемная платформа, эскалатор </w:t>
      </w:r>
    </w:p>
    <w:p w:rsidR="00002835" w:rsidRPr="00FC2515" w:rsidRDefault="00002835" w:rsidP="00002835">
      <w:pPr>
        <w:suppressAutoHyphens/>
        <w:jc w:val="both"/>
        <w:rPr>
          <w:rFonts w:eastAsia="Times New Roman"/>
          <w:b/>
        </w:rPr>
      </w:pPr>
      <w:r w:rsidRPr="00FC2515">
        <w:rPr>
          <w:rFonts w:eastAsia="Times New Roman"/>
        </w:rPr>
        <w:t>(в соответствии с п. 6.2.13 – п. 6.2.18 СП 59.13330.2020).</w:t>
      </w:r>
      <w:r w:rsidRPr="00FC2515">
        <w:rPr>
          <w:rFonts w:eastAsia="Times New Roman"/>
          <w:b/>
        </w:rPr>
        <w:t xml:space="preserve"> </w:t>
      </w:r>
    </w:p>
    <w:p w:rsidR="00002835" w:rsidRPr="00FC2515" w:rsidRDefault="00002835" w:rsidP="00002835">
      <w:pPr>
        <w:suppressAutoHyphens/>
        <w:jc w:val="both"/>
        <w:rPr>
          <w:rFonts w:eastAsia="Times New Roman"/>
        </w:rPr>
      </w:pPr>
      <w:r w:rsidRPr="00FC2515">
        <w:rPr>
          <w:rFonts w:eastAsia="Times New Roman"/>
        </w:rPr>
        <w:t>Лифт должен иметь габариты не менее 1100х1400 мм (ширина х глубина).</w:t>
      </w:r>
    </w:p>
    <w:p w:rsidR="00002835" w:rsidRPr="00FC2515" w:rsidRDefault="00002835" w:rsidP="00002835">
      <w:pPr>
        <w:suppressAutoHyphens/>
        <w:jc w:val="both"/>
        <w:rPr>
          <w:rFonts w:eastAsia="Times New Roman"/>
          <w:b/>
        </w:rPr>
      </w:pPr>
      <w:r w:rsidRPr="00FC2515">
        <w:rPr>
          <w:rFonts w:eastAsia="Times New Roman"/>
        </w:rPr>
        <w:t>- Лестницы необходимо обеспечить противоскользящими контрастными полосами общей шириной 0,08-0.1м. (в соответствии с п. 6.2.8 СП 59.13330.2020).</w:t>
      </w:r>
    </w:p>
    <w:p w:rsidR="00002835" w:rsidRPr="00FC2515" w:rsidRDefault="00002835" w:rsidP="00002835">
      <w:pPr>
        <w:suppressAutoHyphens/>
        <w:jc w:val="both"/>
        <w:rPr>
          <w:rFonts w:eastAsia="Times New Roman"/>
        </w:rPr>
      </w:pPr>
      <w:r w:rsidRPr="00FC2515">
        <w:rPr>
          <w:rFonts w:eastAsia="Times New Roman"/>
        </w:rPr>
        <w:t>-   Необходимо обеспечить зону досягаемости для посетителей в кресле-коляске в пределах, установленн</w:t>
      </w:r>
      <w:r>
        <w:rPr>
          <w:rFonts w:eastAsia="Times New Roman"/>
        </w:rPr>
        <w:t xml:space="preserve">ых в соответствии с п. 8.1.7 СП </w:t>
      </w:r>
      <w:r w:rsidRPr="00FC2515">
        <w:rPr>
          <w:rFonts w:eastAsia="Times New Roman"/>
        </w:rPr>
        <w:t>59.13330.2020.</w:t>
      </w:r>
    </w:p>
    <w:p w:rsidR="00002835" w:rsidRPr="00FC2515" w:rsidRDefault="00002835" w:rsidP="00002835">
      <w:pPr>
        <w:suppressAutoHyphens/>
        <w:jc w:val="both"/>
        <w:rPr>
          <w:rFonts w:eastAsia="Times New Roman"/>
        </w:rPr>
      </w:pPr>
      <w:r w:rsidRPr="00FC2515">
        <w:rPr>
          <w:rFonts w:eastAsia="Times New Roman"/>
        </w:rPr>
        <w:t xml:space="preserve">- Помещение пункта (пунктов) приема </w:t>
      </w:r>
      <w:r w:rsidRPr="00FC2515">
        <w:rPr>
          <w:rFonts w:ascii="Times New Roman CYR" w:eastAsia="Times New Roman" w:hAnsi="Times New Roman CYR" w:cs="Times New Roman CYR"/>
        </w:rPr>
        <w:t>Получателей</w:t>
      </w:r>
      <w:r w:rsidRPr="00FC2515">
        <w:rPr>
          <w:rFonts w:eastAsia="Times New Roman"/>
        </w:rPr>
        <w:t xml:space="preserve">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002835" w:rsidRPr="00FC2515" w:rsidRDefault="00002835" w:rsidP="00002835">
      <w:pPr>
        <w:suppressAutoHyphens/>
        <w:jc w:val="both"/>
        <w:rPr>
          <w:rFonts w:eastAsia="Times New Roman"/>
        </w:rPr>
      </w:pPr>
      <w:r w:rsidRPr="00FC2515">
        <w:rPr>
          <w:rFonts w:eastAsia="Times New Roman"/>
        </w:rPr>
        <w:lastRenderedPageBreak/>
        <w:t>- Ширина дверных полотен, открытых проемов в стене на путях движения внутри пункта (пунктов) должна быть не менее 0,9 м. Дверные проемы не должны иметь порогов более 0,014 м. (в соответствии с п. 6.2.4 СП 59.13330.2020).</w:t>
      </w:r>
    </w:p>
    <w:p w:rsidR="00002835" w:rsidRPr="00FC2515" w:rsidRDefault="00002835" w:rsidP="00002835">
      <w:pPr>
        <w:suppressAutoHyphens/>
        <w:jc w:val="both"/>
        <w:rPr>
          <w:rFonts w:eastAsia="Times New Roman"/>
        </w:rPr>
      </w:pPr>
      <w:r w:rsidRPr="00FC2515">
        <w:rPr>
          <w:rFonts w:eastAsia="Times New Roman"/>
        </w:rPr>
        <w:t xml:space="preserve">- </w:t>
      </w:r>
      <w:proofErr w:type="gramStart"/>
      <w:r w:rsidRPr="00FC2515">
        <w:rPr>
          <w:rFonts w:eastAsia="Times New Roman"/>
        </w:rPr>
        <w:t>В</w:t>
      </w:r>
      <w:proofErr w:type="gramEnd"/>
      <w:r w:rsidRPr="00FC2515">
        <w:rPr>
          <w:rFonts w:eastAsia="Times New Roman"/>
        </w:rPr>
        <w:t xml:space="preserve"> целях безопасности, участки пола на путях движения человека с инвалидностью должны быть оснащены тактильно-контрастными предупреждающими указателями (в соответствии с п.6.2.3 СП 59.13330.2020)</w:t>
      </w:r>
    </w:p>
    <w:p w:rsidR="00002835" w:rsidRPr="00FC2515" w:rsidRDefault="00002835" w:rsidP="00002835">
      <w:pPr>
        <w:suppressAutoHyphens/>
        <w:jc w:val="both"/>
        <w:rPr>
          <w:rFonts w:eastAsia="Times New Roman"/>
          <w:b/>
        </w:rPr>
      </w:pPr>
      <w:r w:rsidRPr="00FC2515">
        <w:rPr>
          <w:rFonts w:eastAsia="Times New Roman"/>
          <w:b/>
        </w:rPr>
        <w:t>Пути эвакуации</w:t>
      </w:r>
    </w:p>
    <w:p w:rsidR="00002835" w:rsidRPr="00FC2515" w:rsidRDefault="00002835" w:rsidP="00002835">
      <w:pPr>
        <w:suppressAutoHyphens/>
        <w:jc w:val="both"/>
        <w:rPr>
          <w:rFonts w:eastAsia="Times New Roman"/>
        </w:rPr>
      </w:pPr>
      <w:r w:rsidRPr="00FC2515">
        <w:rPr>
          <w:rFonts w:eastAsia="Times New Roman"/>
        </w:rPr>
        <w:t xml:space="preserve">В случае невозможности соблюдения положений </w:t>
      </w:r>
      <w:r w:rsidRPr="00FC2515">
        <w:rPr>
          <w:rFonts w:eastAsia="Times New Roman"/>
          <w:shd w:val="clear" w:color="auto" w:fill="FFFFFF"/>
        </w:rPr>
        <w:t xml:space="preserve">ч.15 ст.89 </w:t>
      </w:r>
      <w:hyperlink r:id="rId7" w:history="1">
        <w:r w:rsidRPr="00FC2515">
          <w:rPr>
            <w:rFonts w:eastAsia="Times New Roman"/>
            <w:color w:val="0000FF"/>
            <w:spacing w:val="2"/>
            <w:u w:val="single"/>
          </w:rPr>
          <w:t>Федерального закона от 22.07.2008 N 123-ФЗ «Технический регламент о требованиях пожарной безопасности</w:t>
        </w:r>
      </w:hyperlink>
      <w:r w:rsidRPr="00FC2515">
        <w:rPr>
          <w:rFonts w:eastAsia="Times New Roman"/>
        </w:rPr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 «Доступность зданий и сооружений для маломобильных групп населения».</w:t>
      </w:r>
    </w:p>
    <w:p w:rsidR="00002835" w:rsidRPr="00FC2515" w:rsidRDefault="00002835" w:rsidP="00002835">
      <w:pPr>
        <w:suppressAutoHyphens/>
        <w:jc w:val="both"/>
        <w:rPr>
          <w:rFonts w:eastAsia="Times New Roman"/>
        </w:rPr>
      </w:pPr>
      <w:r w:rsidRPr="00FC2515">
        <w:rPr>
          <w:rFonts w:eastAsia="Times New Roman"/>
        </w:rPr>
        <w:t xml:space="preserve">Пути эвакуации помещений пункта (пунктов) приема </w:t>
      </w:r>
      <w:r w:rsidRPr="00FC2515">
        <w:rPr>
          <w:rFonts w:ascii="Times New Roman CYR" w:eastAsia="Times New Roman" w:hAnsi="Times New Roman CYR" w:cs="Times New Roman CYR"/>
        </w:rPr>
        <w:t>Получателей</w:t>
      </w:r>
      <w:r w:rsidRPr="00FC2515">
        <w:rPr>
          <w:rFonts w:eastAsia="Times New Roman"/>
        </w:rPr>
        <w:t xml:space="preserve"> должны обеспечивать безопасность посетителей в соответствии с п.6.2.19-п.6.2.32 СП 59.13330.2020.</w:t>
      </w:r>
    </w:p>
    <w:p w:rsidR="00002835" w:rsidRPr="00FC2515" w:rsidRDefault="00002835" w:rsidP="00002835">
      <w:pPr>
        <w:suppressAutoHyphens/>
        <w:jc w:val="both"/>
        <w:rPr>
          <w:rFonts w:eastAsia="Times New Roman"/>
        </w:rPr>
      </w:pPr>
      <w:r w:rsidRPr="00FC2515">
        <w:rPr>
          <w:rFonts w:eastAsia="Times New Roman"/>
        </w:rPr>
        <w:t>Обеспечить систему двухсторонней связи с диспетчером или дежурным (в соответствии с п. 6.5.8 СП 59.13330.2020).</w:t>
      </w:r>
    </w:p>
    <w:p w:rsidR="00002835" w:rsidRPr="00FC2515" w:rsidRDefault="00002835" w:rsidP="00002835">
      <w:pPr>
        <w:suppressAutoHyphens/>
        <w:jc w:val="both"/>
        <w:rPr>
          <w:rFonts w:eastAsia="Times New Roman"/>
        </w:rPr>
      </w:pPr>
      <w:r w:rsidRPr="00FC2515">
        <w:rPr>
          <w:rFonts w:eastAsia="Times New Roman"/>
        </w:rPr>
        <w:t xml:space="preserve">5.4. На территории пункта приема </w:t>
      </w:r>
      <w:r w:rsidRPr="00FC2515">
        <w:rPr>
          <w:rFonts w:ascii="Times New Roman CYR" w:eastAsia="Times New Roman" w:hAnsi="Times New Roman CYR" w:cs="Times New Roman CYR"/>
        </w:rPr>
        <w:t>Получателей</w:t>
      </w:r>
      <w:r w:rsidRPr="00FC2515">
        <w:rPr>
          <w:rFonts w:eastAsia="Times New Roman"/>
        </w:rPr>
        <w:t xml:space="preserve"> должны иметься туалетные комнаты, оборудованные для посещения Получателями в соответствии с п. 5.22. </w:t>
      </w:r>
      <w:r w:rsidRPr="00FC2515">
        <w:rPr>
          <w:rFonts w:eastAsia="Times New Roman"/>
          <w:bCs/>
          <w:spacing w:val="2"/>
          <w:shd w:val="clear" w:color="auto" w:fill="FFFFFF"/>
        </w:rPr>
        <w:t>СП 44.13330.2011 Административные и бытовые здания. Актуализированная редакция СНиП 2.09.04-87 (с Поправкой, с Изменениями N 1, 2, 3)</w:t>
      </w:r>
      <w:r w:rsidRPr="00FC2515">
        <w:rPr>
          <w:rFonts w:eastAsia="Times New Roman"/>
        </w:rPr>
        <w:t xml:space="preserve">, со свободным доступом Получателей. При чем не менее 1 (одной) оборудованной для посещения инвалидами в соответствии с п. 6.3.3, 6.3.6, </w:t>
      </w:r>
      <w:r w:rsidRPr="00FC2515">
        <w:rPr>
          <w:rFonts w:eastAsia="Times New Roman"/>
          <w:spacing w:val="2"/>
          <w:shd w:val="clear" w:color="auto" w:fill="FFFFFF"/>
        </w:rPr>
        <w:t>6.3.9</w:t>
      </w:r>
      <w:r w:rsidRPr="00FC2515">
        <w:rPr>
          <w:rFonts w:eastAsia="Times New Roman"/>
        </w:rPr>
        <w:t xml:space="preserve"> </w:t>
      </w:r>
      <w:hyperlink r:id="rId8" w:history="1">
        <w:r w:rsidRPr="00FC2515">
          <w:rPr>
            <w:rFonts w:eastAsia="Times New Roman"/>
          </w:rPr>
          <w:t>СП 59.13330.2020 «Доступность зданий и сооружений для маломобильных групп населения»</w:t>
        </w:r>
      </w:hyperlink>
      <w:r w:rsidRPr="00FC2515">
        <w:rPr>
          <w:rFonts w:eastAsia="Times New Roman"/>
        </w:rPr>
        <w:t>.</w:t>
      </w:r>
    </w:p>
    <w:p w:rsidR="00002835" w:rsidRPr="00FC2515" w:rsidRDefault="00002835" w:rsidP="00002835">
      <w:pPr>
        <w:jc w:val="both"/>
        <w:rPr>
          <w:rFonts w:eastAsia="Times New Roman"/>
        </w:rPr>
      </w:pPr>
      <w:r w:rsidRPr="00FC2515">
        <w:rPr>
          <w:rFonts w:eastAsia="Times New Roman"/>
        </w:rPr>
        <w:t xml:space="preserve">5.5. Пункт(ы) приема </w:t>
      </w:r>
      <w:r w:rsidRPr="00FC2515">
        <w:rPr>
          <w:rFonts w:ascii="Times New Roman CYR" w:eastAsia="Times New Roman" w:hAnsi="Times New Roman CYR" w:cs="Times New Roman CYR"/>
        </w:rPr>
        <w:t>Получателей</w:t>
      </w:r>
      <w:r w:rsidRPr="00FC2515">
        <w:rPr>
          <w:rFonts w:eastAsia="Times New Roman"/>
        </w:rPr>
        <w:t xml:space="preserve"> должен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</w:t>
      </w:r>
      <w:r w:rsidRPr="00FC2515">
        <w:rPr>
          <w:rFonts w:ascii="Times New Roman CYR" w:eastAsia="Times New Roman" w:hAnsi="Times New Roman CYR" w:cs="Times New Roman CYR"/>
        </w:rPr>
        <w:t>Получателей</w:t>
      </w:r>
      <w:r w:rsidRPr="00FC2515">
        <w:rPr>
          <w:rFonts w:eastAsia="Times New Roman"/>
        </w:rPr>
        <w:t xml:space="preserve"> не позволяет обеспечить достижение указанного показателя, Поставщиком оборудуются дополнительные окна обслуживания.</w:t>
      </w:r>
    </w:p>
    <w:p w:rsidR="00002835" w:rsidRPr="00FC2515" w:rsidRDefault="00002835" w:rsidP="00002835">
      <w:pPr>
        <w:suppressAutoHyphens/>
        <w:jc w:val="both"/>
        <w:rPr>
          <w:rFonts w:eastAsia="Times New Roman"/>
        </w:rPr>
      </w:pPr>
      <w:r w:rsidRPr="00FC2515">
        <w:rPr>
          <w:rFonts w:eastAsia="Times New Roman"/>
        </w:rPr>
        <w:t xml:space="preserve">5.6.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</w:t>
      </w:r>
      <w:r w:rsidRPr="00FC2515">
        <w:rPr>
          <w:rFonts w:eastAsia="Times New Roman"/>
          <w:lang w:eastAsia="ar-SA"/>
        </w:rPr>
        <w:t xml:space="preserve">пункта </w:t>
      </w:r>
      <w:r w:rsidRPr="00FC2515">
        <w:rPr>
          <w:rFonts w:eastAsia="Times New Roman"/>
        </w:rPr>
        <w:t>(пунктов)</w:t>
      </w:r>
      <w:r w:rsidRPr="00FC2515">
        <w:rPr>
          <w:rFonts w:eastAsia="Times New Roman"/>
          <w:lang w:eastAsia="ar-SA"/>
        </w:rPr>
        <w:t xml:space="preserve"> приема</w:t>
      </w:r>
      <w:r w:rsidRPr="00FC2515">
        <w:rPr>
          <w:rFonts w:eastAsia="Times New Roman"/>
        </w:rPr>
        <w:t xml:space="preserve"> </w:t>
      </w:r>
      <w:r w:rsidRPr="00FC2515">
        <w:rPr>
          <w:rFonts w:ascii="Times New Roman CYR" w:eastAsia="Times New Roman" w:hAnsi="Times New Roman CYR" w:cs="Times New Roman CYR"/>
        </w:rPr>
        <w:t>Получателей</w:t>
      </w:r>
      <w:r w:rsidRPr="00FC2515">
        <w:rPr>
          <w:rFonts w:eastAsia="Times New Roman"/>
        </w:rPr>
        <w:t xml:space="preserve">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002835" w:rsidRPr="00FC2515" w:rsidRDefault="00002835" w:rsidP="00002835">
      <w:pPr>
        <w:suppressAutoHyphens/>
        <w:jc w:val="both"/>
        <w:rPr>
          <w:rFonts w:eastAsia="Times New Roman"/>
        </w:rPr>
      </w:pPr>
      <w:r w:rsidRPr="00FC2515">
        <w:rPr>
          <w:rFonts w:eastAsia="Times New Roman"/>
        </w:rPr>
        <w:t>5.7. Товар должен находиться на складе пункта (пунктов) приема</w:t>
      </w:r>
      <w:r w:rsidRPr="00FC2515">
        <w:rPr>
          <w:rFonts w:ascii="Times New Roman CYR" w:eastAsia="Times New Roman" w:hAnsi="Times New Roman CYR" w:cs="Times New Roman CYR"/>
        </w:rPr>
        <w:t xml:space="preserve"> Получателей</w:t>
      </w:r>
      <w:r w:rsidRPr="00FC2515">
        <w:rPr>
          <w:rFonts w:eastAsia="Times New Roman"/>
        </w:rPr>
        <w:t>, обеспечивающем его надлежащее хранение. Товар не должен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002835" w:rsidRPr="00FC2515" w:rsidRDefault="00002835" w:rsidP="00002835">
      <w:pPr>
        <w:widowControl w:val="0"/>
        <w:jc w:val="both"/>
        <w:rPr>
          <w:rFonts w:eastAsia="Times New Roman"/>
        </w:rPr>
      </w:pPr>
      <w:r w:rsidRPr="00FC2515">
        <w:rPr>
          <w:rFonts w:eastAsia="Times New Roman"/>
        </w:rPr>
        <w:t xml:space="preserve">5.8. Пункт (пункты) приема </w:t>
      </w:r>
      <w:r w:rsidRPr="00FC2515">
        <w:rPr>
          <w:rFonts w:ascii="Times New Roman CYR" w:eastAsia="Times New Roman" w:hAnsi="Times New Roman CYR" w:cs="Times New Roman CYR"/>
        </w:rPr>
        <w:t>Получателей</w:t>
      </w:r>
      <w:r w:rsidRPr="00FC2515">
        <w:rPr>
          <w:rFonts w:eastAsia="Times New Roman"/>
        </w:rPr>
        <w:t xml:space="preserve"> должны иметь следующие условия доступности в соответствии с Приказом Министерства труда и социальной защиты РФ от 30 июля 2015 г. N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002835" w:rsidRPr="00FC2515" w:rsidRDefault="00002835" w:rsidP="00002835">
      <w:pPr>
        <w:widowControl w:val="0"/>
        <w:jc w:val="both"/>
        <w:rPr>
          <w:rFonts w:eastAsia="Times New Roman"/>
        </w:rPr>
      </w:pPr>
      <w:r w:rsidRPr="00FC2515">
        <w:rPr>
          <w:rFonts w:eastAsia="Times New Roman"/>
        </w:rPr>
        <w:t>- возможность беспрепятственного входа в объекты и выхода из них;</w:t>
      </w:r>
    </w:p>
    <w:p w:rsidR="00002835" w:rsidRPr="00FC2515" w:rsidRDefault="00002835" w:rsidP="00002835">
      <w:pPr>
        <w:widowControl w:val="0"/>
        <w:jc w:val="both"/>
        <w:rPr>
          <w:rFonts w:eastAsia="Times New Roman"/>
        </w:rPr>
      </w:pPr>
      <w:r w:rsidRPr="00FC2515">
        <w:rPr>
          <w:rFonts w:eastAsia="Times New Roman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FC2515">
        <w:rPr>
          <w:rFonts w:eastAsia="Times New Roman"/>
        </w:rPr>
        <w:t>ассистивных</w:t>
      </w:r>
      <w:proofErr w:type="spellEnd"/>
      <w:r w:rsidRPr="00FC2515">
        <w:rPr>
          <w:rFonts w:eastAsia="Times New Roman"/>
        </w:rPr>
        <w:t xml:space="preserve"> и вспомогательных технологий, а также сменного кресла-коляски;</w:t>
      </w:r>
    </w:p>
    <w:p w:rsidR="00002835" w:rsidRPr="00FC2515" w:rsidRDefault="00002835" w:rsidP="00002835">
      <w:pPr>
        <w:widowControl w:val="0"/>
        <w:jc w:val="both"/>
        <w:rPr>
          <w:rFonts w:eastAsia="Times New Roman"/>
        </w:rPr>
      </w:pPr>
      <w:r w:rsidRPr="00FC2515">
        <w:rPr>
          <w:rFonts w:eastAsia="Times New Roman"/>
        </w:rPr>
        <w:t>- сопровождение инвалидов, имеющих стойкие нарушения функции зрения и самостоятельного передвижения по территории объекта;</w:t>
      </w:r>
    </w:p>
    <w:p w:rsidR="00002835" w:rsidRPr="00FC2515" w:rsidRDefault="00002835" w:rsidP="00002835">
      <w:pPr>
        <w:widowControl w:val="0"/>
        <w:jc w:val="both"/>
        <w:rPr>
          <w:rFonts w:eastAsia="Times New Roman"/>
        </w:rPr>
      </w:pPr>
      <w:r w:rsidRPr="00FC2515">
        <w:rPr>
          <w:rFonts w:eastAsia="Times New Roman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02835" w:rsidRPr="00FC2515" w:rsidRDefault="00002835" w:rsidP="00002835">
      <w:pPr>
        <w:widowControl w:val="0"/>
        <w:jc w:val="both"/>
        <w:rPr>
          <w:rFonts w:eastAsia="Times New Roman"/>
        </w:rPr>
      </w:pPr>
      <w:r w:rsidRPr="00FC2515">
        <w:rPr>
          <w:rFonts w:eastAsia="Times New Roman"/>
        </w:rPr>
        <w:lastRenderedPageBreak/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02835" w:rsidRPr="00FC2515" w:rsidRDefault="00002835" w:rsidP="00002835">
      <w:pPr>
        <w:widowControl w:val="0"/>
        <w:jc w:val="both"/>
        <w:rPr>
          <w:rFonts w:eastAsia="Times New Roman"/>
        </w:rPr>
      </w:pPr>
      <w:r w:rsidRPr="00FC2515">
        <w:rPr>
          <w:rFonts w:eastAsia="Times New Roman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anchor="block_1000" w:history="1">
        <w:r w:rsidRPr="00FC2515">
          <w:rPr>
            <w:rFonts w:eastAsia="Times New Roman"/>
          </w:rPr>
          <w:t>форме</w:t>
        </w:r>
      </w:hyperlink>
      <w:r w:rsidRPr="00FC2515">
        <w:rPr>
          <w:rFonts w:eastAsia="Times New Roman"/>
        </w:rPr>
        <w:t xml:space="preserve"> и в </w:t>
      </w:r>
      <w:hyperlink r:id="rId10" w:anchor="block_2000" w:history="1">
        <w:r w:rsidRPr="00FC2515">
          <w:rPr>
            <w:rFonts w:eastAsia="Times New Roman"/>
          </w:rPr>
          <w:t>порядке</w:t>
        </w:r>
      </w:hyperlink>
      <w:r w:rsidRPr="00FC2515">
        <w:rPr>
          <w:rFonts w:eastAsia="Times New Roman"/>
        </w:rPr>
        <w:t xml:space="preserve">, утвержденных </w:t>
      </w:r>
      <w:hyperlink r:id="rId11" w:history="1">
        <w:r w:rsidRPr="00FC2515">
          <w:rPr>
            <w:rFonts w:eastAsia="Times New Roman"/>
          </w:rPr>
          <w:t>приказом</w:t>
        </w:r>
      </w:hyperlink>
      <w:r w:rsidRPr="00FC2515">
        <w:rPr>
          <w:rFonts w:eastAsia="Times New Roman"/>
        </w:rPr>
        <w:t xml:space="preserve"> Министерства труда и социальной защиты Российской Федерации от 22 июня 2015 г. N 386н (зарегистрирован Министерством юстиции Российской Федерации 21 июля 2015 г., регистрационный N 38115).</w:t>
      </w:r>
    </w:p>
    <w:p w:rsidR="00002835" w:rsidRPr="00FC2515" w:rsidRDefault="00002835" w:rsidP="00002835">
      <w:pPr>
        <w:jc w:val="both"/>
        <w:rPr>
          <w:rFonts w:eastAsia="Times New Roman"/>
        </w:rPr>
      </w:pPr>
      <w:r w:rsidRPr="00FC2515">
        <w:rPr>
          <w:rFonts w:eastAsia="Times New Roman"/>
        </w:rPr>
        <w:t xml:space="preserve">5.9. Заказчик вправе предоставить Поставщику без взимания платы помещение для организации пункта приема Получателей. Поставщик обязан организовать выдачу Товара в предложенном пункте приема.  </w:t>
      </w:r>
    </w:p>
    <w:p w:rsidR="00002835" w:rsidRPr="00FC2515" w:rsidRDefault="00002835" w:rsidP="00002835">
      <w:pPr>
        <w:jc w:val="both"/>
        <w:rPr>
          <w:rFonts w:eastAsia="Times New Roman"/>
        </w:rPr>
      </w:pPr>
      <w:r w:rsidRPr="00FC2515">
        <w:rPr>
          <w:rFonts w:eastAsia="Times New Roman"/>
        </w:rPr>
        <w:t>6. В случае выбора Получателем способа получения Товара по месту нахождения пункта (пунктов) приема</w:t>
      </w:r>
      <w:r w:rsidRPr="00FC2515">
        <w:rPr>
          <w:rFonts w:ascii="Times New Roman CYR" w:eastAsia="Times New Roman" w:hAnsi="Times New Roman CYR" w:cs="Times New Roman CYR"/>
        </w:rPr>
        <w:t xml:space="preserve"> Получателей</w:t>
      </w:r>
      <w:r w:rsidRPr="00FC2515">
        <w:rPr>
          <w:rFonts w:eastAsia="Times New Roman"/>
        </w:rPr>
        <w:t>, организованных Поставщиком, передача Товара Получателю осуществляется в день обращения Получателя в пункт(-ы) приема</w:t>
      </w:r>
      <w:r w:rsidRPr="00FC2515">
        <w:rPr>
          <w:rFonts w:ascii="Times New Roman CYR" w:eastAsia="Times New Roman" w:hAnsi="Times New Roman CYR" w:cs="Times New Roman CYR"/>
        </w:rPr>
        <w:t xml:space="preserve"> Получателей</w:t>
      </w:r>
      <w:r w:rsidRPr="00FC2515">
        <w:rPr>
          <w:rFonts w:eastAsia="Times New Roman"/>
        </w:rPr>
        <w:t xml:space="preserve"> с направлением. На отрывном талоне направления Поставщик в обязательном порядке проставляет дату обращения Получателя.</w:t>
      </w:r>
    </w:p>
    <w:p w:rsidR="00002835" w:rsidRPr="00FC2515" w:rsidRDefault="00002835" w:rsidP="00002835">
      <w:pPr>
        <w:jc w:val="both"/>
        <w:rPr>
          <w:rFonts w:eastAsia="Times New Roman"/>
        </w:rPr>
      </w:pPr>
      <w:r w:rsidRPr="00FC2515">
        <w:rPr>
          <w:rFonts w:eastAsia="Times New Roman"/>
        </w:rPr>
        <w:t xml:space="preserve">6.1. В случае выбора Получателем способа получения Товара по месту нахождения пункта (пунктов) приема Получателей, организованных Поставщиком, передача Товара Получателям должна производиться в каждом из пунктов приема Получателей не менее </w:t>
      </w:r>
      <w:r>
        <w:rPr>
          <w:rFonts w:eastAsia="Times New Roman"/>
        </w:rPr>
        <w:t>5</w:t>
      </w:r>
      <w:r w:rsidRPr="00FC2515">
        <w:rPr>
          <w:rFonts w:eastAsia="Times New Roman"/>
        </w:rPr>
        <w:t xml:space="preserve"> (</w:t>
      </w:r>
      <w:r>
        <w:rPr>
          <w:rFonts w:eastAsia="Times New Roman"/>
        </w:rPr>
        <w:t>пяти</w:t>
      </w:r>
      <w:r w:rsidRPr="00FC2515">
        <w:rPr>
          <w:rFonts w:eastAsia="Times New Roman"/>
        </w:rPr>
        <w:t xml:space="preserve">) дней </w:t>
      </w:r>
      <w:r>
        <w:rPr>
          <w:rFonts w:eastAsia="Times New Roman"/>
        </w:rPr>
        <w:t xml:space="preserve">в </w:t>
      </w:r>
      <w:r w:rsidRPr="00FC2515">
        <w:rPr>
          <w:rFonts w:eastAsia="Times New Roman"/>
        </w:rPr>
        <w:t xml:space="preserve">неделю, не менее 40 (сорока) часов в неделю, при этом, время работы должно быть в интервале с 08:00 до 22:00. </w:t>
      </w:r>
    </w:p>
    <w:p w:rsidR="00002835" w:rsidRPr="00FC2515" w:rsidRDefault="00002835" w:rsidP="00002835">
      <w:pPr>
        <w:suppressAutoHyphens/>
        <w:jc w:val="both"/>
        <w:rPr>
          <w:rFonts w:eastAsia="Times New Roman"/>
        </w:rPr>
      </w:pPr>
      <w:r w:rsidRPr="00FC2515">
        <w:rPr>
          <w:rFonts w:eastAsia="Times New Roman"/>
        </w:rPr>
        <w:t xml:space="preserve">6.2. В случае выбора Получателем способа получения Товара путем передачи Товара по месту нахождения Получателя, такая доставка осуществляется Поставщиком в пределах </w:t>
      </w:r>
      <w:r>
        <w:rPr>
          <w:rFonts w:eastAsia="Times New Roman"/>
        </w:rPr>
        <w:t>Санкт-Петербурга и Ленинградской области</w:t>
      </w:r>
      <w:r w:rsidRPr="00FC2515">
        <w:rPr>
          <w:rFonts w:eastAsia="Times New Roman"/>
        </w:rPr>
        <w:t>, не менее</w:t>
      </w:r>
      <w:r>
        <w:rPr>
          <w:rFonts w:eastAsia="Times New Roman"/>
        </w:rPr>
        <w:t xml:space="preserve"> чем с 10:00 до 21:00 не менее 5</w:t>
      </w:r>
      <w:r w:rsidRPr="00FC2515">
        <w:rPr>
          <w:rFonts w:eastAsia="Times New Roman"/>
        </w:rPr>
        <w:t xml:space="preserve"> (</w:t>
      </w:r>
      <w:r>
        <w:rPr>
          <w:rFonts w:eastAsia="Times New Roman"/>
        </w:rPr>
        <w:t>пяти</w:t>
      </w:r>
      <w:r w:rsidRPr="00FC2515">
        <w:rPr>
          <w:rFonts w:eastAsia="Times New Roman"/>
        </w:rPr>
        <w:t>) дней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 xml:space="preserve">в </w:t>
      </w:r>
      <w:r w:rsidRPr="00FC2515">
        <w:rPr>
          <w:rFonts w:eastAsia="Times New Roman"/>
        </w:rPr>
        <w:t xml:space="preserve"> неделю</w:t>
      </w:r>
      <w:proofErr w:type="gramEnd"/>
      <w:r w:rsidRPr="00FC2515">
        <w:rPr>
          <w:rFonts w:eastAsia="Times New Roman"/>
        </w:rPr>
        <w:t xml:space="preserve">, по предварительной записи по телефону, предоставленному Заказчику </w:t>
      </w:r>
      <w:r>
        <w:rPr>
          <w:rFonts w:eastAsia="Times New Roman"/>
        </w:rPr>
        <w:t>в срок не позднее 1 (одного) рабочего дня с даты заключения контракта</w:t>
      </w:r>
      <w:r w:rsidRPr="00FC2515">
        <w:rPr>
          <w:rFonts w:eastAsia="Times New Roman"/>
        </w:rPr>
        <w:t>. Доставка осуществляется за счет средств Поставщика.</w:t>
      </w:r>
    </w:p>
    <w:p w:rsidR="00002835" w:rsidRPr="00FC2515" w:rsidRDefault="00002835" w:rsidP="00002835">
      <w:pPr>
        <w:suppressAutoHyphens/>
        <w:jc w:val="both"/>
        <w:rPr>
          <w:rFonts w:eastAsia="Times New Roman"/>
        </w:rPr>
      </w:pPr>
      <w:r w:rsidRPr="00FC2515">
        <w:rPr>
          <w:rFonts w:eastAsia="Times New Roman"/>
        </w:rPr>
        <w:t>Поставщик обязан информировать Заказчика о невозможности доставки Товара Получателю не позднее дня, следующего за днем доставки, согласованным с Получателем.</w:t>
      </w:r>
    </w:p>
    <w:p w:rsidR="00002835" w:rsidRPr="00FC2515" w:rsidRDefault="00002835" w:rsidP="00002835">
      <w:pPr>
        <w:autoSpaceDE w:val="0"/>
        <w:autoSpaceDN w:val="0"/>
        <w:adjustRightInd w:val="0"/>
        <w:jc w:val="both"/>
        <w:rPr>
          <w:rFonts w:eastAsia="Times New Roman"/>
        </w:rPr>
      </w:pPr>
      <w:r w:rsidRPr="00FC2515">
        <w:rPr>
          <w:rFonts w:eastAsia="Times New Roman"/>
        </w:rPr>
        <w:t>6.3.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002835" w:rsidRPr="00FC2515" w:rsidRDefault="00002835" w:rsidP="00002835">
      <w:pPr>
        <w:suppressAutoHyphens/>
        <w:jc w:val="both"/>
        <w:rPr>
          <w:rFonts w:eastAsia="Times New Roman"/>
        </w:rPr>
      </w:pPr>
      <w:r w:rsidRPr="00FC2515">
        <w:rPr>
          <w:rFonts w:eastAsia="Times New Roman"/>
        </w:rPr>
        <w:t>6.4. С целью подтверждения соответствия поставляемого Товара по количеству, комплектности, ассортименту и качеству требованиям, установленным Техническим заданием, Заказчик по своему усмотрению производит сплошную и/или выборочную проверку Товара и соответствия пункта (пунктов) приема</w:t>
      </w:r>
      <w:r w:rsidRPr="00FC2515">
        <w:rPr>
          <w:rFonts w:ascii="Times New Roman CYR" w:eastAsia="Times New Roman" w:hAnsi="Times New Roman CYR" w:cs="Times New Roman CYR"/>
        </w:rPr>
        <w:t xml:space="preserve"> Получателей</w:t>
      </w:r>
      <w:r w:rsidRPr="00FC2515">
        <w:rPr>
          <w:rFonts w:eastAsia="Times New Roman"/>
        </w:rPr>
        <w:t xml:space="preserve"> требованиям Технического задания. При проведении проверки Заказчик вправе осуществлять </w:t>
      </w:r>
      <w:proofErr w:type="spellStart"/>
      <w:r w:rsidRPr="00FC2515">
        <w:rPr>
          <w:rFonts w:eastAsia="Times New Roman"/>
        </w:rPr>
        <w:t>фотофиксацию</w:t>
      </w:r>
      <w:proofErr w:type="spellEnd"/>
      <w:r w:rsidRPr="00FC2515">
        <w:rPr>
          <w:rFonts w:eastAsia="Times New Roman"/>
        </w:rPr>
        <w:t xml:space="preserve"> и/или видеозапись.</w:t>
      </w:r>
    </w:p>
    <w:p w:rsidR="00002835" w:rsidRPr="00FC2515" w:rsidRDefault="00002835" w:rsidP="00002835">
      <w:pPr>
        <w:suppressAutoHyphens/>
        <w:jc w:val="both"/>
        <w:rPr>
          <w:rFonts w:eastAsia="Times New Roman"/>
        </w:rPr>
      </w:pPr>
      <w:r w:rsidRPr="00FC2515">
        <w:rPr>
          <w:rFonts w:eastAsia="Times New Roman"/>
        </w:rPr>
        <w:t xml:space="preserve">6.5. В случаях отказа от Товара Получателя, Поставщик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 </w:t>
      </w:r>
      <w:hyperlink r:id="rId12" w:history="1">
        <w:r w:rsidRPr="00FC2515">
          <w:rPr>
            <w:rFonts w:eastAsia="Times New Roman"/>
            <w:color w:val="0563C1" w:themeColor="hyperlink"/>
            <w:u w:val="single"/>
          </w:rPr>
          <w:t>osp@ro78.fss.ru</w:t>
        </w:r>
      </w:hyperlink>
      <w:r>
        <w:rPr>
          <w:rFonts w:eastAsia="Times New Roman"/>
        </w:rPr>
        <w:t>.</w:t>
      </w:r>
    </w:p>
    <w:p w:rsidR="00002835" w:rsidRPr="00FC2515" w:rsidRDefault="00002835" w:rsidP="00002835">
      <w:pPr>
        <w:suppressAutoHyphens/>
        <w:jc w:val="both"/>
        <w:rPr>
          <w:rFonts w:eastAsia="Times New Roman"/>
        </w:rPr>
      </w:pPr>
      <w:r w:rsidRPr="00FC2515">
        <w:rPr>
          <w:rFonts w:eastAsia="Times New Roman"/>
        </w:rPr>
        <w:t>7. При проведении экспертизы Товара на соответствие их условиям Технического задания, Поставщик должен предоставить необходимое для проведения экспертизы количество Товара. При этом предоставленное для экспертизы количество Товара не входит в общий объем Товара, предусмотренный Техническим заданием.</w:t>
      </w:r>
    </w:p>
    <w:p w:rsidR="00002835" w:rsidRPr="00655EFB" w:rsidRDefault="00002835" w:rsidP="00002835">
      <w:pPr>
        <w:rPr>
          <w:rFonts w:eastAsia="Times New Roman"/>
        </w:rPr>
      </w:pPr>
    </w:p>
    <w:p w:rsidR="00002835" w:rsidRDefault="00002835" w:rsidP="00002835">
      <w:pPr>
        <w:jc w:val="center"/>
        <w:rPr>
          <w:b/>
        </w:rPr>
      </w:pPr>
    </w:p>
    <w:p w:rsidR="00002835" w:rsidRDefault="00002835" w:rsidP="00002835">
      <w:pPr>
        <w:jc w:val="both"/>
        <w:rPr>
          <w:rFonts w:eastAsia="Times New Roman"/>
        </w:rPr>
      </w:pPr>
    </w:p>
    <w:p w:rsidR="008A5BD4" w:rsidRPr="00E2384A" w:rsidRDefault="008A5BD4" w:rsidP="00E2384A"/>
    <w:sectPr w:rsidR="008A5BD4" w:rsidRPr="00E2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142F0"/>
    <w:multiLevelType w:val="hybridMultilevel"/>
    <w:tmpl w:val="8898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644EB"/>
    <w:multiLevelType w:val="hybridMultilevel"/>
    <w:tmpl w:val="E5E0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0F"/>
    <w:rsid w:val="00002835"/>
    <w:rsid w:val="00096FE0"/>
    <w:rsid w:val="001116F3"/>
    <w:rsid w:val="00202AE3"/>
    <w:rsid w:val="00211F6E"/>
    <w:rsid w:val="00223285"/>
    <w:rsid w:val="00231E0F"/>
    <w:rsid w:val="008A5BD4"/>
    <w:rsid w:val="00AB6FCA"/>
    <w:rsid w:val="00B17707"/>
    <w:rsid w:val="00CC2DF4"/>
    <w:rsid w:val="00CE31FF"/>
    <w:rsid w:val="00E2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88773-3DAB-4E15-9821-EC07CAB4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2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3285"/>
    <w:rPr>
      <w:rFonts w:cs="Times New Roman"/>
      <w:color w:val="0000FF"/>
      <w:u w:val="single"/>
    </w:rPr>
  </w:style>
  <w:style w:type="table" w:customStyle="1" w:styleId="2">
    <w:name w:val="Сетка таблицы2"/>
    <w:basedOn w:val="a1"/>
    <w:next w:val="a4"/>
    <w:uiPriority w:val="39"/>
    <w:rsid w:val="002232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223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stroyrf.ru/docs/1322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42620598" TargetMode="External"/><Relationship Id="rId12" Type="http://schemas.openxmlformats.org/officeDocument/2006/relationships/hyperlink" Target="mailto:osp@ro78.f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p@ro78.fss.ru" TargetMode="External"/><Relationship Id="rId11" Type="http://schemas.openxmlformats.org/officeDocument/2006/relationships/hyperlink" Target="http://base.garant.ru/71145140/" TargetMode="External"/><Relationship Id="rId5" Type="http://schemas.openxmlformats.org/officeDocument/2006/relationships/hyperlink" Target="mailto:osp@ro78.fss.ru" TargetMode="External"/><Relationship Id="rId10" Type="http://schemas.openxmlformats.org/officeDocument/2006/relationships/hyperlink" Target="http://base.garant.ru/71145140/f7ee959fd36b5699076b35abf4f52c5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1145140/53f89421bbdaf741eb2d1ecc4ddb4c3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3827</Words>
  <Characters>21814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Ольга Николаевна</dc:creator>
  <cp:keywords/>
  <dc:description/>
  <cp:lastModifiedBy>Харламова Ольга Николаевна</cp:lastModifiedBy>
  <cp:revision>2</cp:revision>
  <dcterms:created xsi:type="dcterms:W3CDTF">2024-09-23T11:09:00Z</dcterms:created>
  <dcterms:modified xsi:type="dcterms:W3CDTF">2024-09-23T11:09:00Z</dcterms:modified>
</cp:coreProperties>
</file>