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3080" w14:textId="60B91476" w:rsidR="00AB4A56" w:rsidRPr="00AB4A56" w:rsidRDefault="00AB4A56" w:rsidP="00AB4A56">
      <w:pPr>
        <w:widowControl w:val="0"/>
        <w:jc w:val="right"/>
        <w:rPr>
          <w:rFonts w:eastAsia="Lucida Sans Unicode"/>
          <w:lang w:eastAsia="ar-SA"/>
        </w:rPr>
      </w:pPr>
      <w:r w:rsidRPr="00AB4A56">
        <w:rPr>
          <w:rFonts w:eastAsia="Lucida Sans Unicode"/>
          <w:lang w:eastAsia="ar-SA"/>
        </w:rPr>
        <w:t>Приложение №1</w:t>
      </w:r>
    </w:p>
    <w:p w14:paraId="2A236E73"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к извещению о проведении</w:t>
      </w:r>
    </w:p>
    <w:p w14:paraId="2C51045A"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 xml:space="preserve">открытого конкурса </w:t>
      </w:r>
    </w:p>
    <w:p w14:paraId="3B20AA9E"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в электронной форме</w:t>
      </w:r>
    </w:p>
    <w:p w14:paraId="6170A870" w14:textId="77777777" w:rsidR="00AB4A56" w:rsidRDefault="00AB4A56" w:rsidP="000F2860">
      <w:pPr>
        <w:widowControl w:val="0"/>
        <w:jc w:val="center"/>
        <w:rPr>
          <w:rFonts w:eastAsia="Lucida Sans Unicode"/>
          <w:b/>
          <w:bCs/>
          <w:lang w:eastAsia="ar-SA"/>
        </w:rPr>
      </w:pPr>
    </w:p>
    <w:p w14:paraId="05DC736F" w14:textId="30D9B178" w:rsidR="000F2860" w:rsidRDefault="00AB4A56" w:rsidP="000F2860">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5AEF33BF" w14:textId="77777777" w:rsidR="00AB4A56" w:rsidRPr="00831AAF" w:rsidRDefault="00AB4A56" w:rsidP="000F2860">
      <w:pPr>
        <w:widowControl w:val="0"/>
        <w:jc w:val="center"/>
        <w:rPr>
          <w:b/>
        </w:rPr>
      </w:pPr>
    </w:p>
    <w:p w14:paraId="7562759A" w14:textId="506F7437" w:rsidR="00A2542F" w:rsidRPr="00E414BF"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0F2860" w:rsidRPr="00332C81">
        <w:rPr>
          <w:b/>
        </w:rPr>
        <w:t xml:space="preserve">выполнение работ по </w:t>
      </w:r>
      <w:r w:rsidR="00A83A66">
        <w:rPr>
          <w:b/>
        </w:rPr>
        <w:t xml:space="preserve">изготовлению </w:t>
      </w:r>
      <w:r w:rsidR="00AF43EE" w:rsidRPr="00AF43EE">
        <w:rPr>
          <w:b/>
        </w:rPr>
        <w:t>протеза кисти с микропроцессорным управлением, в том числе при вычленении и частичном вычленении кисти</w:t>
      </w:r>
      <w:r w:rsidR="00DF73FD">
        <w:rPr>
          <w:b/>
        </w:rPr>
        <w:t xml:space="preserve"> </w:t>
      </w:r>
      <w:r w:rsidR="00A83A66">
        <w:rPr>
          <w:b/>
        </w:rPr>
        <w:t>в пользу граждан</w:t>
      </w:r>
      <w:r w:rsidR="001A6FFB">
        <w:rPr>
          <w:b/>
        </w:rPr>
        <w:t xml:space="preserve"> в целях </w:t>
      </w:r>
      <w:r w:rsidR="003A3825">
        <w:rPr>
          <w:b/>
        </w:rPr>
        <w:t xml:space="preserve">их </w:t>
      </w:r>
      <w:r w:rsidR="00782F7F">
        <w:rPr>
          <w:b/>
        </w:rPr>
        <w:t xml:space="preserve">социального обеспечения в </w:t>
      </w:r>
      <w:r w:rsidR="00E414BF" w:rsidRPr="00E414BF">
        <w:rPr>
          <w:b/>
        </w:rPr>
        <w:t>202</w:t>
      </w:r>
      <w:r w:rsidR="00782F7F">
        <w:rPr>
          <w:b/>
        </w:rPr>
        <w:t>4</w:t>
      </w:r>
      <w:r w:rsidR="00E414BF" w:rsidRPr="00E414BF">
        <w:rPr>
          <w:b/>
        </w:rPr>
        <w:t xml:space="preserve"> году</w:t>
      </w:r>
    </w:p>
    <w:p w14:paraId="3D9A2E72" w14:textId="77777777" w:rsidR="00E414BF" w:rsidRPr="00E414BF" w:rsidRDefault="00E414BF" w:rsidP="00E414BF">
      <w:pPr>
        <w:tabs>
          <w:tab w:val="center" w:pos="4996"/>
          <w:tab w:val="left" w:pos="6840"/>
        </w:tabs>
        <w:jc w:val="center"/>
        <w:rPr>
          <w:b/>
          <w:bCs/>
          <w:color w:val="000000"/>
        </w:rPr>
      </w:pPr>
    </w:p>
    <w:p w14:paraId="18F8E9C2" w14:textId="58138E3D" w:rsidR="00E414BF" w:rsidRPr="007D77D3" w:rsidRDefault="00B615C5" w:rsidP="006824D7">
      <w:pPr>
        <w:keepNext/>
        <w:ind w:firstLine="709"/>
        <w:jc w:val="both"/>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83A66" w:rsidRPr="00A83A66">
        <w:t xml:space="preserve">выполнение работ по </w:t>
      </w:r>
      <w:r w:rsidR="00DF73FD">
        <w:t xml:space="preserve">изготовлению </w:t>
      </w:r>
      <w:r w:rsidR="00AF43EE">
        <w:rPr>
          <w:lang w:eastAsia="ar-SA"/>
        </w:rPr>
        <w:t xml:space="preserve">протеза </w:t>
      </w:r>
      <w:r w:rsidR="00AF43EE">
        <w:t>кисти с микропроцессорным управлением, в том числе при вычленении и частичном вычленении кисти</w:t>
      </w:r>
      <w:r w:rsidR="00DF73FD">
        <w:t xml:space="preserve"> </w:t>
      </w:r>
      <w:r w:rsidR="00A83A66" w:rsidRPr="00A83A66">
        <w:t>в пользу граждан</w:t>
      </w:r>
      <w:r w:rsidR="003A3825">
        <w:t xml:space="preserve"> </w:t>
      </w:r>
      <w:r w:rsidR="00A83A66" w:rsidRPr="00A83A66">
        <w:t>в целях их социального обеспечения в 2024 году</w:t>
      </w:r>
      <w:r w:rsidR="00E414BF" w:rsidRPr="00A83A66">
        <w:t>.</w:t>
      </w:r>
    </w:p>
    <w:p w14:paraId="512A33C7" w14:textId="71CB1C4E"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A83A66" w:rsidRPr="00332C81">
        <w:rPr>
          <w:b/>
        </w:rPr>
        <w:t xml:space="preserve">выполнение работ по </w:t>
      </w:r>
      <w:r w:rsidR="00A83A66">
        <w:rPr>
          <w:b/>
        </w:rPr>
        <w:t xml:space="preserve">изготовлению </w:t>
      </w:r>
      <w:r w:rsidR="00AF43EE" w:rsidRPr="00AF43EE">
        <w:rPr>
          <w:b/>
        </w:rPr>
        <w:t xml:space="preserve">протеза кисти с микропроцессорным управлением, в том числе при вычленении и частичном вычленении кисти </w:t>
      </w:r>
      <w:r w:rsidR="00A83A66">
        <w:rPr>
          <w:b/>
        </w:rPr>
        <w:t xml:space="preserve">в пользу граждан в целях их социального обеспечения в </w:t>
      </w:r>
      <w:r w:rsidR="00A83A66" w:rsidRPr="00E414BF">
        <w:rPr>
          <w:b/>
        </w:rPr>
        <w:t>202</w:t>
      </w:r>
      <w:r w:rsidR="00A83A66">
        <w:rPr>
          <w:b/>
        </w:rPr>
        <w:t>4</w:t>
      </w:r>
      <w:r w:rsidR="00A83A66" w:rsidRPr="00E414BF">
        <w:rPr>
          <w:b/>
        </w:rPr>
        <w:t xml:space="preserve"> году</w:t>
      </w:r>
      <w:r w:rsidR="00A83A66" w:rsidRPr="00E6676B">
        <w:t xml:space="preserve"> </w:t>
      </w:r>
      <w:r w:rsidR="00DB5E37" w:rsidRPr="00E6676B">
        <w:t xml:space="preserve">в целях реализации постановления Правительства Российской Федерации от </w:t>
      </w:r>
      <w:r w:rsidR="00121CE9">
        <w:t>0</w:t>
      </w:r>
      <w:r w:rsidR="00DB5E37" w:rsidRPr="00E6676B">
        <w:t>7</w:t>
      </w:r>
      <w:r w:rsidR="00121CE9">
        <w:t>.04.</w:t>
      </w:r>
      <w:r w:rsidR="00DB5E37" w:rsidRPr="00E6676B">
        <w:t>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5AB7B3C5" w14:textId="5B317474"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DF73FD">
        <w:rPr>
          <w:b/>
        </w:rPr>
        <w:t xml:space="preserve">изготовлению </w:t>
      </w:r>
      <w:r w:rsidR="00C60859" w:rsidRPr="00C60859">
        <w:rPr>
          <w:b/>
        </w:rPr>
        <w:t>протеза кисти с микропроцессорным управлением, в том числе при вычленении и частичном вычленении кисти</w:t>
      </w:r>
      <w:r w:rsidR="00DF73FD">
        <w:rPr>
          <w:b/>
        </w:rPr>
        <w:t xml:space="preserve"> </w:t>
      </w:r>
      <w:r w:rsidR="00B615C5" w:rsidRPr="00D311DE">
        <w:rPr>
          <w:b/>
          <w:bCs/>
        </w:rPr>
        <w:t>(далее</w:t>
      </w:r>
      <w:r w:rsidR="00B615C5">
        <w:rPr>
          <w:b/>
          <w:bCs/>
        </w:rPr>
        <w:t xml:space="preserve"> </w:t>
      </w:r>
      <w:r w:rsidR="00B615C5" w:rsidRPr="00D311DE">
        <w:rPr>
          <w:b/>
          <w:bCs/>
        </w:rPr>
        <w:t>– Изделия)</w:t>
      </w:r>
      <w:r w:rsidR="00B615C5" w:rsidRPr="00D311DE">
        <w:rPr>
          <w:b/>
          <w:bCs/>
          <w:color w:val="000000"/>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261C12">
        <w:rPr>
          <w:b/>
          <w:bCs/>
        </w:rPr>
        <w:t>ь</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68"/>
        <w:gridCol w:w="1996"/>
        <w:gridCol w:w="4099"/>
        <w:gridCol w:w="1113"/>
        <w:gridCol w:w="1217"/>
      </w:tblGrid>
      <w:tr w:rsidR="008B17C5" w:rsidRPr="007D77D3" w14:paraId="32113DE2" w14:textId="3B0BC89A" w:rsidTr="00646F25">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068"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1996"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4099"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1113"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1217"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646F25">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068" w:type="dxa"/>
          </w:tcPr>
          <w:p w14:paraId="728441A8" w14:textId="77777777" w:rsidR="00824C8E" w:rsidRPr="007D77D3" w:rsidRDefault="00824C8E" w:rsidP="00824C8E">
            <w:pPr>
              <w:jc w:val="center"/>
              <w:rPr>
                <w:sz w:val="20"/>
                <w:szCs w:val="20"/>
              </w:rPr>
            </w:pPr>
            <w:r w:rsidRPr="007D77D3">
              <w:rPr>
                <w:sz w:val="20"/>
                <w:szCs w:val="20"/>
              </w:rPr>
              <w:t>-</w:t>
            </w:r>
          </w:p>
        </w:tc>
        <w:tc>
          <w:tcPr>
            <w:tcW w:w="1996" w:type="dxa"/>
            <w:shd w:val="clear" w:color="auto" w:fill="auto"/>
          </w:tcPr>
          <w:p w14:paraId="4D217483" w14:textId="77777777" w:rsidR="00824C8E" w:rsidRPr="00824C8E" w:rsidRDefault="00824C8E" w:rsidP="00824C8E">
            <w:pPr>
              <w:rPr>
                <w:color w:val="00000A"/>
                <w:sz w:val="20"/>
                <w:szCs w:val="20"/>
                <w:lang w:eastAsia="zh-CN"/>
              </w:rPr>
            </w:pPr>
            <w:r w:rsidRPr="00824C8E">
              <w:rPr>
                <w:color w:val="00000A"/>
                <w:sz w:val="20"/>
                <w:szCs w:val="20"/>
                <w:lang w:eastAsia="zh-CN"/>
              </w:rPr>
              <w:t>8-04-01</w:t>
            </w:r>
          </w:p>
          <w:p w14:paraId="2EC9B94E" w14:textId="177FA01B" w:rsidR="00824C8E" w:rsidRPr="00824C8E" w:rsidRDefault="00824C8E" w:rsidP="00824C8E">
            <w:pPr>
              <w:rPr>
                <w:color w:val="00000A"/>
                <w:sz w:val="20"/>
                <w:szCs w:val="20"/>
                <w:lang w:eastAsia="zh-CN"/>
              </w:rPr>
            </w:pPr>
            <w:r w:rsidRPr="00824C8E">
              <w:rPr>
                <w:color w:val="00000A"/>
                <w:sz w:val="20"/>
                <w:szCs w:val="20"/>
                <w:lang w:eastAsia="zh-CN"/>
              </w:rPr>
              <w:t>Протез кисти с микропроцессорным управлением, в том числе при вычленении и частичном вычленении кисти</w:t>
            </w:r>
          </w:p>
        </w:tc>
        <w:tc>
          <w:tcPr>
            <w:tcW w:w="4099" w:type="dxa"/>
            <w:shd w:val="clear" w:color="auto" w:fill="auto"/>
          </w:tcPr>
          <w:p w14:paraId="485C5961"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Характеристики: </w:t>
            </w:r>
          </w:p>
          <w:p w14:paraId="19DDC438"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 функционально – антропометрические данные: </w:t>
            </w:r>
          </w:p>
          <w:p w14:paraId="6BBD53FC" w14:textId="77777777" w:rsidR="00824C8E" w:rsidRPr="00824C8E" w:rsidRDefault="00824C8E" w:rsidP="005A3703">
            <w:pPr>
              <w:jc w:val="both"/>
              <w:rPr>
                <w:color w:val="00000A"/>
                <w:sz w:val="20"/>
                <w:szCs w:val="20"/>
                <w:lang w:eastAsia="zh-CN"/>
              </w:rPr>
            </w:pPr>
            <w:r w:rsidRPr="00824C8E">
              <w:rPr>
                <w:color w:val="00000A"/>
                <w:sz w:val="20"/>
                <w:szCs w:val="20"/>
                <w:lang w:eastAsia="zh-CN"/>
              </w:rPr>
              <w:t>1.3 состояние культи:</w:t>
            </w:r>
          </w:p>
          <w:p w14:paraId="594BDADD"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1.3.1 функциональная; </w:t>
            </w:r>
          </w:p>
          <w:p w14:paraId="4E1834EA"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1.4 протезирование: </w:t>
            </w:r>
          </w:p>
          <w:p w14:paraId="11B2CCAD" w14:textId="77777777" w:rsidR="00824C8E" w:rsidRPr="00824C8E" w:rsidRDefault="00824C8E" w:rsidP="005A3703">
            <w:pPr>
              <w:jc w:val="both"/>
              <w:rPr>
                <w:color w:val="00000A"/>
                <w:sz w:val="20"/>
                <w:szCs w:val="20"/>
                <w:lang w:eastAsia="zh-CN"/>
              </w:rPr>
            </w:pPr>
            <w:r w:rsidRPr="00824C8E">
              <w:rPr>
                <w:color w:val="00000A"/>
                <w:sz w:val="20"/>
                <w:szCs w:val="20"/>
                <w:lang w:eastAsia="zh-CN"/>
              </w:rPr>
              <w:t>1.4.2 повторное;</w:t>
            </w:r>
          </w:p>
          <w:p w14:paraId="1362D042" w14:textId="77777777" w:rsidR="00824C8E" w:rsidRPr="00824C8E" w:rsidRDefault="00824C8E" w:rsidP="005A3703">
            <w:pPr>
              <w:jc w:val="both"/>
              <w:rPr>
                <w:color w:val="00000A"/>
                <w:sz w:val="20"/>
                <w:szCs w:val="20"/>
                <w:lang w:eastAsia="zh-CN"/>
              </w:rPr>
            </w:pPr>
            <w:r w:rsidRPr="00824C8E">
              <w:rPr>
                <w:color w:val="00000A"/>
                <w:sz w:val="20"/>
                <w:szCs w:val="20"/>
                <w:lang w:eastAsia="zh-CN"/>
              </w:rPr>
              <w:t>2 приемная гильза:</w:t>
            </w:r>
          </w:p>
          <w:p w14:paraId="50DC2B6C"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2.1 наименование разновидности модуля (узла, элемента: </w:t>
            </w:r>
          </w:p>
          <w:p w14:paraId="297AB7F6"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2.1.1 приемная гильза; </w:t>
            </w:r>
          </w:p>
          <w:p w14:paraId="63F01728" w14:textId="24606D43" w:rsidR="00824C8E" w:rsidRPr="00824C8E" w:rsidRDefault="00824C8E" w:rsidP="005A3703">
            <w:pPr>
              <w:jc w:val="both"/>
              <w:rPr>
                <w:color w:val="00000A"/>
                <w:sz w:val="20"/>
                <w:szCs w:val="20"/>
                <w:lang w:eastAsia="zh-CN"/>
              </w:rPr>
            </w:pPr>
            <w:r w:rsidRPr="00824C8E">
              <w:rPr>
                <w:color w:val="00000A"/>
                <w:sz w:val="20"/>
                <w:szCs w:val="20"/>
                <w:lang w:eastAsia="zh-CN"/>
              </w:rPr>
              <w:t>3 вкладные элементы:</w:t>
            </w:r>
            <w:r w:rsidR="00DB1526">
              <w:rPr>
                <w:color w:val="00000A"/>
                <w:sz w:val="20"/>
                <w:szCs w:val="20"/>
                <w:lang w:eastAsia="zh-CN"/>
              </w:rPr>
              <w:t xml:space="preserve"> не требуются</w:t>
            </w:r>
            <w:r w:rsidR="00261C12">
              <w:rPr>
                <w:color w:val="00000A"/>
                <w:sz w:val="20"/>
                <w:szCs w:val="20"/>
                <w:lang w:eastAsia="zh-CN"/>
              </w:rPr>
              <w:t>;</w:t>
            </w:r>
            <w:r w:rsidRPr="00824C8E">
              <w:rPr>
                <w:color w:val="00000A"/>
                <w:sz w:val="20"/>
                <w:szCs w:val="20"/>
                <w:lang w:eastAsia="zh-CN"/>
              </w:rPr>
              <w:t xml:space="preserve"> </w:t>
            </w:r>
          </w:p>
          <w:p w14:paraId="0CB53B9E"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 искусственная кисть с микропроцессорным управлением: </w:t>
            </w:r>
          </w:p>
          <w:p w14:paraId="1FBCC6F6" w14:textId="77777777" w:rsidR="00824C8E" w:rsidRPr="00824C8E" w:rsidRDefault="00824C8E" w:rsidP="005A3703">
            <w:pPr>
              <w:jc w:val="both"/>
              <w:rPr>
                <w:color w:val="00000A"/>
                <w:sz w:val="20"/>
                <w:szCs w:val="20"/>
                <w:lang w:eastAsia="zh-CN"/>
              </w:rPr>
            </w:pPr>
            <w:r w:rsidRPr="00824C8E">
              <w:rPr>
                <w:color w:val="00000A"/>
                <w:sz w:val="20"/>
                <w:szCs w:val="20"/>
                <w:lang w:eastAsia="zh-CN"/>
              </w:rPr>
              <w:lastRenderedPageBreak/>
              <w:t>4.1 наименование разновидности модуля (узла, элемента):</w:t>
            </w:r>
          </w:p>
          <w:p w14:paraId="28298570"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4.1.1 искусственная кисть с микропроцессорным управлением; </w:t>
            </w:r>
          </w:p>
          <w:p w14:paraId="5BF0EAC2"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4.2 функциональные особенности: </w:t>
            </w:r>
          </w:p>
          <w:p w14:paraId="446B02D9"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4.2.1 Обеспечивает схват и удержание предметов; </w:t>
            </w:r>
          </w:p>
          <w:p w14:paraId="585907A9"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4.3 Конструктивные особенности модуля (узла, элемента): </w:t>
            </w:r>
          </w:p>
          <w:p w14:paraId="6A87CD83" w14:textId="77777777" w:rsidR="00824C8E" w:rsidRPr="00824C8E" w:rsidRDefault="00824C8E" w:rsidP="005A3703">
            <w:pPr>
              <w:jc w:val="both"/>
              <w:rPr>
                <w:color w:val="00000A"/>
                <w:sz w:val="20"/>
                <w:szCs w:val="20"/>
                <w:lang w:eastAsia="zh-CN"/>
              </w:rPr>
            </w:pPr>
            <w:r w:rsidRPr="00824C8E">
              <w:rPr>
                <w:color w:val="00000A"/>
                <w:sz w:val="20"/>
                <w:szCs w:val="20"/>
                <w:lang w:eastAsia="zh-CN"/>
              </w:rPr>
              <w:t>4.3.4 с блоком из 4-х пальцев;</w:t>
            </w:r>
          </w:p>
          <w:p w14:paraId="76E402BD" w14:textId="77777777" w:rsidR="00824C8E" w:rsidRPr="00824C8E" w:rsidRDefault="00824C8E" w:rsidP="005A3703">
            <w:pPr>
              <w:jc w:val="both"/>
              <w:rPr>
                <w:color w:val="00000A"/>
                <w:sz w:val="20"/>
                <w:szCs w:val="20"/>
                <w:lang w:eastAsia="zh-CN"/>
              </w:rPr>
            </w:pPr>
            <w:r w:rsidRPr="00824C8E">
              <w:rPr>
                <w:color w:val="00000A"/>
                <w:sz w:val="20"/>
                <w:szCs w:val="20"/>
                <w:lang w:eastAsia="zh-CN"/>
              </w:rPr>
              <w:t>4.4 Комплектность</w:t>
            </w:r>
          </w:p>
          <w:p w14:paraId="2449F8EF"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4.4.2 Искусственная кисть с микропроцессорным управлением; </w:t>
            </w:r>
          </w:p>
          <w:p w14:paraId="44DFAE6F"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5 Крепление: </w:t>
            </w:r>
          </w:p>
          <w:p w14:paraId="5433A859" w14:textId="77777777" w:rsidR="00824C8E" w:rsidRPr="00824C8E" w:rsidRDefault="00824C8E" w:rsidP="005A3703">
            <w:pPr>
              <w:jc w:val="both"/>
              <w:rPr>
                <w:color w:val="00000A"/>
                <w:sz w:val="20"/>
                <w:szCs w:val="20"/>
                <w:lang w:eastAsia="zh-CN"/>
              </w:rPr>
            </w:pPr>
            <w:r w:rsidRPr="00824C8E">
              <w:rPr>
                <w:color w:val="00000A"/>
                <w:sz w:val="20"/>
                <w:szCs w:val="20"/>
                <w:lang w:eastAsia="zh-CN"/>
              </w:rPr>
              <w:t>5.1 Наименование разновидности модуля (узла, элемента):</w:t>
            </w:r>
          </w:p>
          <w:p w14:paraId="5CCE37DF" w14:textId="77777777" w:rsidR="00824C8E" w:rsidRPr="00824C8E" w:rsidRDefault="00824C8E" w:rsidP="005A3703">
            <w:pPr>
              <w:jc w:val="both"/>
              <w:rPr>
                <w:color w:val="00000A"/>
                <w:sz w:val="20"/>
                <w:szCs w:val="20"/>
                <w:lang w:eastAsia="zh-CN"/>
              </w:rPr>
            </w:pPr>
            <w:r w:rsidRPr="00824C8E">
              <w:rPr>
                <w:color w:val="00000A"/>
                <w:sz w:val="20"/>
                <w:szCs w:val="20"/>
                <w:lang w:eastAsia="zh-CN"/>
              </w:rPr>
              <w:t>5.1.1 Крепление;</w:t>
            </w:r>
          </w:p>
          <w:p w14:paraId="6E42422C"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5.2 Конструктивные особенности модуля (узла, элемента): </w:t>
            </w:r>
          </w:p>
          <w:p w14:paraId="7B176788" w14:textId="7EF17BDB" w:rsidR="00824C8E" w:rsidRPr="00824C8E" w:rsidRDefault="00824C8E" w:rsidP="005A3703">
            <w:pPr>
              <w:jc w:val="both"/>
              <w:rPr>
                <w:color w:val="00000A"/>
                <w:sz w:val="20"/>
                <w:szCs w:val="20"/>
                <w:lang w:eastAsia="zh-CN"/>
              </w:rPr>
            </w:pPr>
            <w:r w:rsidRPr="00824C8E">
              <w:rPr>
                <w:color w:val="00000A"/>
                <w:sz w:val="20"/>
                <w:szCs w:val="20"/>
                <w:lang w:eastAsia="zh-CN"/>
              </w:rPr>
              <w:t xml:space="preserve">5.2.3 Индивидуальное: </w:t>
            </w:r>
          </w:p>
        </w:tc>
        <w:tc>
          <w:tcPr>
            <w:tcW w:w="1113"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1217"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083B608E" w:rsidR="00B615C5" w:rsidRPr="00615ABF" w:rsidRDefault="00B615C5" w:rsidP="00B615C5">
      <w:pPr>
        <w:ind w:firstLine="709"/>
        <w:jc w:val="both"/>
      </w:pPr>
      <w:r w:rsidRPr="00615ABF">
        <w:rPr>
          <w:b/>
          <w:bCs/>
        </w:rPr>
        <w:t>Срок выполнения работ</w:t>
      </w:r>
      <w:r w:rsidRPr="00615ABF">
        <w:t xml:space="preserve">: </w:t>
      </w:r>
      <w:r w:rsidR="00A83A66">
        <w:rPr>
          <w:bCs/>
          <w:color w:val="000000"/>
          <w:shd w:val="clear" w:color="auto" w:fill="FFFFFF"/>
          <w:lang w:eastAsia="x-none"/>
        </w:rPr>
        <w:t xml:space="preserve">Не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w:t>
      </w:r>
      <w:r w:rsidR="001B5609">
        <w:rPr>
          <w:bCs/>
          <w:color w:val="000000"/>
          <w:shd w:val="clear" w:color="auto" w:fill="FFFFFF"/>
          <w:lang w:eastAsia="x-none"/>
        </w:rPr>
        <w:t xml:space="preserve"> до</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1400BB2F"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824C8E">
        <w:rPr>
          <w:b/>
        </w:rPr>
        <w:t>8</w:t>
      </w:r>
      <w:r w:rsidR="00631000">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4D92DDBA" w:rsidR="00A832FF" w:rsidRDefault="003052FA" w:rsidP="00A832FF">
      <w:pPr>
        <w:pStyle w:val="aa"/>
        <w:ind w:left="0" w:firstLine="708"/>
        <w:jc w:val="both"/>
        <w:rPr>
          <w:rFonts w:eastAsia="Arial Unicode MS"/>
          <w:lang w:eastAsia="en-US" w:bidi="en-US"/>
        </w:rPr>
      </w:pPr>
      <w:r w:rsidRPr="003052FA">
        <w:t>Протез кисти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A9593BC" w14:textId="3BCAF3D8" w:rsidR="00A832FF" w:rsidRDefault="00F6274F" w:rsidP="00A832FF">
      <w:pPr>
        <w:pStyle w:val="aa"/>
        <w:ind w:left="0" w:firstLine="708"/>
        <w:jc w:val="both"/>
        <w:rPr>
          <w:bCs/>
          <w:color w:val="000000"/>
        </w:rPr>
      </w:pPr>
      <w:r w:rsidRPr="00F6274F">
        <w:rPr>
          <w:bCs/>
          <w:color w:val="000000"/>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726E455F" w:rsidR="00F6274F" w:rsidRPr="00F6274F" w:rsidRDefault="003052FA" w:rsidP="00A832FF">
      <w:pPr>
        <w:pStyle w:val="aa"/>
        <w:ind w:left="0" w:firstLine="708"/>
        <w:jc w:val="both"/>
        <w:rPr>
          <w:bCs/>
          <w:color w:val="000000"/>
        </w:rPr>
      </w:pPr>
      <w:r w:rsidRPr="003052FA">
        <w:t>Протез кисти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Федерации </w:t>
      </w:r>
      <w:r w:rsidR="00F6274F" w:rsidRPr="00F6274F">
        <w:rPr>
          <w:bCs/>
          <w:i/>
        </w:rPr>
        <w:t>«</w:t>
      </w:r>
      <w:r w:rsidR="00F6274F" w:rsidRPr="00F6274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ортезирование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lastRenderedPageBreak/>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1AE33147"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 xml:space="preserve">Маркировка, упаковка, хранение и транспортировка протезов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22CBD6C6" w14:textId="243C6DBD" w:rsidR="00F6274F" w:rsidRPr="00F6274F" w:rsidRDefault="00A832FF" w:rsidP="00F6274F">
      <w:pPr>
        <w:pStyle w:val="aa"/>
        <w:numPr>
          <w:ilvl w:val="0"/>
          <w:numId w:val="1"/>
        </w:numPr>
        <w:jc w:val="both"/>
        <w:rPr>
          <w:color w:val="000000"/>
        </w:rPr>
      </w:pPr>
      <w:r>
        <w:tab/>
      </w:r>
      <w:r w:rsidR="00F6274F" w:rsidRPr="00673B87">
        <w:t xml:space="preserve">Срок гарантийного обслуживания Изделия –12 (двенадцати)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tab/>
      </w:r>
      <w:r w:rsidR="00F6274F" w:rsidRPr="00673B87">
        <w:t>Гарантия качества результата работ распространяется на все составляющие результата работ.</w:t>
      </w:r>
    </w:p>
    <w:sectPr w:rsidR="00F6274F" w:rsidRPr="00673B87" w:rsidSect="006D74F8">
      <w:headerReference w:type="default" r:id="rId8"/>
      <w:pgSz w:w="11906" w:h="16838"/>
      <w:pgMar w:top="851" w:right="851"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FBFA" w14:textId="77777777" w:rsidR="001376EB" w:rsidRDefault="001376EB" w:rsidP="00AC1B82">
      <w:r>
        <w:separator/>
      </w:r>
    </w:p>
  </w:endnote>
  <w:endnote w:type="continuationSeparator" w:id="0">
    <w:p w14:paraId="352E4B61" w14:textId="77777777" w:rsidR="001376EB" w:rsidRDefault="001376EB"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D6C9" w14:textId="77777777" w:rsidR="001376EB" w:rsidRDefault="001376EB" w:rsidP="00AC1B82">
      <w:r>
        <w:separator/>
      </w:r>
    </w:p>
  </w:footnote>
  <w:footnote w:type="continuationSeparator" w:id="0">
    <w:p w14:paraId="654F6D48" w14:textId="77777777" w:rsidR="001376EB" w:rsidRDefault="001376EB"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5B4A9A78" w:rsidR="00AC1B82" w:rsidRDefault="00AC1B82">
        <w:pPr>
          <w:pStyle w:val="af"/>
          <w:jc w:val="center"/>
        </w:pPr>
        <w:r>
          <w:fldChar w:fldCharType="begin"/>
        </w:r>
        <w:r>
          <w:instrText>PAGE   \* MERGEFORMAT</w:instrText>
        </w:r>
        <w:r>
          <w:fldChar w:fldCharType="separate"/>
        </w:r>
        <w:r w:rsidR="00DB1526">
          <w:rPr>
            <w:noProof/>
          </w:rPr>
          <w:t>3</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9553646">
    <w:abstractNumId w:val="1"/>
  </w:num>
  <w:num w:numId="2" w16cid:durableId="735014900">
    <w:abstractNumId w:val="2"/>
  </w:num>
  <w:num w:numId="3" w16cid:durableId="1148011587">
    <w:abstractNumId w:val="6"/>
  </w:num>
  <w:num w:numId="4" w16cid:durableId="1575890837">
    <w:abstractNumId w:val="0"/>
  </w:num>
  <w:num w:numId="5" w16cid:durableId="737169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494774">
    <w:abstractNumId w:val="7"/>
  </w:num>
  <w:num w:numId="7" w16cid:durableId="93403222">
    <w:abstractNumId w:val="5"/>
  </w:num>
  <w:num w:numId="8" w16cid:durableId="2039574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40AF"/>
    <w:rsid w:val="000A77BB"/>
    <w:rsid w:val="000B519E"/>
    <w:rsid w:val="000B5C7E"/>
    <w:rsid w:val="000E02A4"/>
    <w:rsid w:val="000F2860"/>
    <w:rsid w:val="000F38FF"/>
    <w:rsid w:val="000F3BF1"/>
    <w:rsid w:val="0010151A"/>
    <w:rsid w:val="0010260B"/>
    <w:rsid w:val="00104FAC"/>
    <w:rsid w:val="001117B4"/>
    <w:rsid w:val="00121CE9"/>
    <w:rsid w:val="001221C0"/>
    <w:rsid w:val="00126E96"/>
    <w:rsid w:val="001271DD"/>
    <w:rsid w:val="0013103B"/>
    <w:rsid w:val="0013533E"/>
    <w:rsid w:val="001376EB"/>
    <w:rsid w:val="00152B3C"/>
    <w:rsid w:val="00154137"/>
    <w:rsid w:val="001542DD"/>
    <w:rsid w:val="00160FC6"/>
    <w:rsid w:val="00176E6A"/>
    <w:rsid w:val="0018062D"/>
    <w:rsid w:val="00195AB3"/>
    <w:rsid w:val="001A0B3B"/>
    <w:rsid w:val="001A2C18"/>
    <w:rsid w:val="001A5AD2"/>
    <w:rsid w:val="001A6FFB"/>
    <w:rsid w:val="001B2C47"/>
    <w:rsid w:val="001B5609"/>
    <w:rsid w:val="001C0556"/>
    <w:rsid w:val="001C3F36"/>
    <w:rsid w:val="001E7E9F"/>
    <w:rsid w:val="001F162A"/>
    <w:rsid w:val="001F76E1"/>
    <w:rsid w:val="002069EC"/>
    <w:rsid w:val="00211EDB"/>
    <w:rsid w:val="00221BCC"/>
    <w:rsid w:val="00222D59"/>
    <w:rsid w:val="0023654C"/>
    <w:rsid w:val="00246A27"/>
    <w:rsid w:val="002609E7"/>
    <w:rsid w:val="00261C12"/>
    <w:rsid w:val="002808C5"/>
    <w:rsid w:val="00286076"/>
    <w:rsid w:val="00294FE1"/>
    <w:rsid w:val="002969D9"/>
    <w:rsid w:val="00297B2C"/>
    <w:rsid w:val="002A210E"/>
    <w:rsid w:val="002B3E70"/>
    <w:rsid w:val="002B76FA"/>
    <w:rsid w:val="002D571E"/>
    <w:rsid w:val="002F56D8"/>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675FD"/>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82CF7"/>
    <w:rsid w:val="00596A55"/>
    <w:rsid w:val="005A3703"/>
    <w:rsid w:val="005A6E3A"/>
    <w:rsid w:val="005B5B8D"/>
    <w:rsid w:val="005B5C2C"/>
    <w:rsid w:val="005C5649"/>
    <w:rsid w:val="005D1DDD"/>
    <w:rsid w:val="005D2D73"/>
    <w:rsid w:val="005E4C10"/>
    <w:rsid w:val="005F090C"/>
    <w:rsid w:val="005F521D"/>
    <w:rsid w:val="005F5B54"/>
    <w:rsid w:val="006064A8"/>
    <w:rsid w:val="006173B7"/>
    <w:rsid w:val="00631000"/>
    <w:rsid w:val="00633D13"/>
    <w:rsid w:val="00637369"/>
    <w:rsid w:val="00646F25"/>
    <w:rsid w:val="006635A4"/>
    <w:rsid w:val="00665068"/>
    <w:rsid w:val="006674AF"/>
    <w:rsid w:val="00680E6F"/>
    <w:rsid w:val="006824D7"/>
    <w:rsid w:val="00687E73"/>
    <w:rsid w:val="00692803"/>
    <w:rsid w:val="00695ACD"/>
    <w:rsid w:val="006C3F2F"/>
    <w:rsid w:val="006D1C16"/>
    <w:rsid w:val="006D3889"/>
    <w:rsid w:val="006D74F8"/>
    <w:rsid w:val="006F4544"/>
    <w:rsid w:val="00706578"/>
    <w:rsid w:val="007224ED"/>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23C5B"/>
    <w:rsid w:val="00824C8E"/>
    <w:rsid w:val="0082582E"/>
    <w:rsid w:val="00834113"/>
    <w:rsid w:val="00854135"/>
    <w:rsid w:val="00861F49"/>
    <w:rsid w:val="00866D36"/>
    <w:rsid w:val="0087292E"/>
    <w:rsid w:val="00872EAC"/>
    <w:rsid w:val="00894336"/>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675B"/>
    <w:rsid w:val="009A685C"/>
    <w:rsid w:val="009A7529"/>
    <w:rsid w:val="009A75F6"/>
    <w:rsid w:val="009C10FB"/>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A1FF3"/>
    <w:rsid w:val="00AB1F3C"/>
    <w:rsid w:val="00AB4A56"/>
    <w:rsid w:val="00AC04CF"/>
    <w:rsid w:val="00AC1B82"/>
    <w:rsid w:val="00AD147F"/>
    <w:rsid w:val="00AD31F5"/>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23CC4"/>
    <w:rsid w:val="00C37EBD"/>
    <w:rsid w:val="00C5027F"/>
    <w:rsid w:val="00C53466"/>
    <w:rsid w:val="00C552E9"/>
    <w:rsid w:val="00C56984"/>
    <w:rsid w:val="00C60859"/>
    <w:rsid w:val="00C608A1"/>
    <w:rsid w:val="00C613F2"/>
    <w:rsid w:val="00C70F1B"/>
    <w:rsid w:val="00C727B6"/>
    <w:rsid w:val="00C8241F"/>
    <w:rsid w:val="00C863A8"/>
    <w:rsid w:val="00CA06EC"/>
    <w:rsid w:val="00CB5765"/>
    <w:rsid w:val="00CD079E"/>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6274F"/>
    <w:rsid w:val="00F638D4"/>
    <w:rsid w:val="00F74DD5"/>
    <w:rsid w:val="00F92B56"/>
    <w:rsid w:val="00F95493"/>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338392466">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6149">
      <w:bodyDiv w:val="1"/>
      <w:marLeft w:val="0"/>
      <w:marRight w:val="0"/>
      <w:marTop w:val="0"/>
      <w:marBottom w:val="0"/>
      <w:divBdr>
        <w:top w:val="none" w:sz="0" w:space="0" w:color="auto"/>
        <w:left w:val="none" w:sz="0" w:space="0" w:color="auto"/>
        <w:bottom w:val="none" w:sz="0" w:space="0" w:color="auto"/>
        <w:right w:val="none" w:sz="0" w:space="0" w:color="auto"/>
      </w:divBdr>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E98E-1229-42E0-A337-E7A1DC9D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70</cp:revision>
  <cp:lastPrinted>2024-05-03T04:26:00Z</cp:lastPrinted>
  <dcterms:created xsi:type="dcterms:W3CDTF">2023-07-20T14:25:00Z</dcterms:created>
  <dcterms:modified xsi:type="dcterms:W3CDTF">2024-09-17T10:49:00Z</dcterms:modified>
</cp:coreProperties>
</file>