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64D" w:rsidRDefault="00CD32C3">
      <w:pPr>
        <w:tabs>
          <w:tab w:val="left" w:pos="5245"/>
        </w:tabs>
        <w:ind w:right="594"/>
        <w:jc w:val="both"/>
        <w:rPr>
          <w:sz w:val="2"/>
        </w:rPr>
      </w:pPr>
      <w:r>
        <w:rPr>
          <w:noProof/>
          <w:sz w:val="2"/>
        </w:rPr>
        <w:t xml:space="preserve">                                                                                                                                                                                                                                                                                                  </w:t>
      </w:r>
    </w:p>
    <w:p w:rsidR="005A764D" w:rsidRDefault="005A764D">
      <w:pPr>
        <w:tabs>
          <w:tab w:val="left" w:pos="5245"/>
        </w:tabs>
        <w:ind w:right="594"/>
        <w:rPr>
          <w:sz w:val="2"/>
        </w:rPr>
      </w:pPr>
    </w:p>
    <w:p w:rsidR="00682120" w:rsidRPr="00682120" w:rsidRDefault="00682120" w:rsidP="00682120">
      <w:pPr>
        <w:numPr>
          <w:ilvl w:val="0"/>
          <w:numId w:val="19"/>
        </w:numPr>
        <w:tabs>
          <w:tab w:val="left" w:pos="567"/>
        </w:tabs>
        <w:jc w:val="right"/>
        <w:rPr>
          <w:i/>
          <w:sz w:val="24"/>
          <w:szCs w:val="24"/>
        </w:rPr>
      </w:pPr>
      <w:r w:rsidRPr="00682120">
        <w:rPr>
          <w:i/>
          <w:sz w:val="24"/>
          <w:szCs w:val="24"/>
        </w:rPr>
        <w:t xml:space="preserve">Приложение № </w:t>
      </w:r>
      <w:r>
        <w:rPr>
          <w:i/>
          <w:sz w:val="24"/>
          <w:szCs w:val="24"/>
        </w:rPr>
        <w:t>1</w:t>
      </w:r>
      <w:bookmarkStart w:id="0" w:name="_GoBack"/>
      <w:bookmarkEnd w:id="0"/>
      <w:r w:rsidRPr="00682120">
        <w:rPr>
          <w:i/>
          <w:sz w:val="24"/>
          <w:szCs w:val="24"/>
        </w:rPr>
        <w:t xml:space="preserve"> </w:t>
      </w:r>
    </w:p>
    <w:p w:rsidR="00682120" w:rsidRPr="00682120" w:rsidRDefault="00682120" w:rsidP="00682120">
      <w:pPr>
        <w:numPr>
          <w:ilvl w:val="0"/>
          <w:numId w:val="19"/>
        </w:numPr>
        <w:tabs>
          <w:tab w:val="left" w:pos="567"/>
        </w:tabs>
        <w:jc w:val="right"/>
        <w:rPr>
          <w:i/>
          <w:sz w:val="24"/>
          <w:szCs w:val="24"/>
        </w:rPr>
      </w:pPr>
      <w:r w:rsidRPr="00682120">
        <w:rPr>
          <w:i/>
          <w:sz w:val="24"/>
          <w:szCs w:val="24"/>
        </w:rPr>
        <w:t>к извещению о проведении закупки</w:t>
      </w:r>
    </w:p>
    <w:p w:rsidR="00682120" w:rsidRDefault="00682120" w:rsidP="00760944">
      <w:pPr>
        <w:pStyle w:val="Web"/>
        <w:snapToGrid w:val="0"/>
        <w:spacing w:before="0" w:after="0"/>
        <w:ind w:right="-853"/>
        <w:jc w:val="center"/>
        <w:rPr>
          <w:rFonts w:ascii="Times New Roman" w:hAnsi="Times New Roman" w:cs="Times New Roman"/>
          <w:b/>
        </w:rPr>
      </w:pPr>
    </w:p>
    <w:p w:rsidR="005A764D" w:rsidRDefault="00CD32C3" w:rsidP="00760944">
      <w:pPr>
        <w:pStyle w:val="Web"/>
        <w:snapToGrid w:val="0"/>
        <w:spacing w:before="0" w:after="0"/>
        <w:ind w:right="-853"/>
        <w:jc w:val="center"/>
        <w:rPr>
          <w:rFonts w:ascii="Times New Roman" w:hAnsi="Times New Roman" w:cs="Times New Roman"/>
          <w:b/>
        </w:rPr>
      </w:pPr>
      <w:r>
        <w:rPr>
          <w:rFonts w:ascii="Times New Roman" w:hAnsi="Times New Roman" w:cs="Times New Roman"/>
          <w:b/>
        </w:rPr>
        <w:t>Описание объекта закупки (техническое задание)</w:t>
      </w:r>
    </w:p>
    <w:p w:rsidR="005A764D" w:rsidRDefault="00CD32C3" w:rsidP="00760944">
      <w:pPr>
        <w:widowControl w:val="0"/>
        <w:ind w:right="-24"/>
        <w:jc w:val="center"/>
        <w:rPr>
          <w:rFonts w:eastAsia="Calibri"/>
          <w:b/>
          <w:sz w:val="24"/>
          <w:szCs w:val="24"/>
        </w:rPr>
      </w:pPr>
      <w:r>
        <w:rPr>
          <w:rFonts w:eastAsia="Calibri"/>
          <w:b/>
          <w:sz w:val="24"/>
          <w:szCs w:val="24"/>
        </w:rPr>
        <w:t xml:space="preserve">на выполнение работ по изготовлению </w:t>
      </w:r>
      <w:r w:rsidR="00CD3893" w:rsidRPr="00CD3893">
        <w:rPr>
          <w:b/>
          <w:sz w:val="24"/>
          <w:szCs w:val="24"/>
        </w:rPr>
        <w:t>протеза бедра модульного с микропроцессорным управлением</w:t>
      </w:r>
      <w:r>
        <w:rPr>
          <w:rFonts w:eastAsia="Calibri"/>
          <w:b/>
          <w:sz w:val="24"/>
          <w:szCs w:val="24"/>
        </w:rPr>
        <w:t xml:space="preserve"> </w:t>
      </w:r>
      <w:r w:rsidR="00CD3893">
        <w:rPr>
          <w:rFonts w:eastAsia="Calibri"/>
          <w:b/>
          <w:sz w:val="24"/>
          <w:szCs w:val="24"/>
        </w:rPr>
        <w:t xml:space="preserve">(далее-Изделие) </w:t>
      </w:r>
      <w:r>
        <w:rPr>
          <w:b/>
          <w:bCs/>
          <w:sz w:val="24"/>
          <w:szCs w:val="24"/>
        </w:rPr>
        <w:t xml:space="preserve">для социального обеспечения граждан </w:t>
      </w:r>
      <w:r w:rsidR="00CD3893">
        <w:rPr>
          <w:b/>
          <w:bCs/>
          <w:sz w:val="24"/>
          <w:szCs w:val="24"/>
        </w:rPr>
        <w:t xml:space="preserve">(далее-Получатель) </w:t>
      </w:r>
      <w:r>
        <w:rPr>
          <w:rFonts w:eastAsia="Calibri"/>
          <w:b/>
          <w:sz w:val="24"/>
          <w:szCs w:val="24"/>
        </w:rPr>
        <w:t>в 2024 году</w:t>
      </w:r>
    </w:p>
    <w:p w:rsidR="005A764D" w:rsidRDefault="005A764D" w:rsidP="00760944">
      <w:pPr>
        <w:widowControl w:val="0"/>
        <w:ind w:right="-24"/>
        <w:jc w:val="center"/>
        <w:rPr>
          <w:rFonts w:eastAsia="Calibri"/>
          <w:b/>
          <w:sz w:val="24"/>
          <w:szCs w:val="24"/>
        </w:rPr>
      </w:pPr>
    </w:p>
    <w:p w:rsidR="005A764D" w:rsidRDefault="00CD32C3" w:rsidP="00760944">
      <w:pPr>
        <w:ind w:right="-24"/>
        <w:jc w:val="both"/>
        <w:rPr>
          <w:sz w:val="24"/>
          <w:szCs w:val="24"/>
        </w:rPr>
      </w:pPr>
      <w:r>
        <w:rPr>
          <w:rFonts w:eastAsia="Calibri"/>
          <w:b/>
          <w:sz w:val="24"/>
          <w:szCs w:val="24"/>
        </w:rPr>
        <w:t>Срок выполнения работ:</w:t>
      </w:r>
      <w:r>
        <w:rPr>
          <w:rFonts w:eastAsia="Calibri"/>
          <w:sz w:val="24"/>
          <w:szCs w:val="24"/>
        </w:rPr>
        <w:t xml:space="preserve"> </w:t>
      </w:r>
      <w:r>
        <w:rPr>
          <w:rFonts w:ascii="Times New Roman CYR" w:hAnsi="Times New Roman CYR" w:cs="Times New Roman CYR"/>
          <w:sz w:val="24"/>
          <w:szCs w:val="24"/>
        </w:rPr>
        <w:t>со дня, следующего за днем заключения государственного контракта</w:t>
      </w:r>
      <w:r>
        <w:rPr>
          <w:sz w:val="24"/>
          <w:szCs w:val="24"/>
        </w:rPr>
        <w:t xml:space="preserve">, </w:t>
      </w:r>
      <w:r>
        <w:rPr>
          <w:rFonts w:eastAsia="Calibri"/>
          <w:sz w:val="24"/>
          <w:szCs w:val="24"/>
        </w:rPr>
        <w:t>до «</w:t>
      </w:r>
      <w:r w:rsidR="00CD3893">
        <w:rPr>
          <w:rFonts w:eastAsia="Calibri"/>
          <w:sz w:val="24"/>
          <w:szCs w:val="24"/>
        </w:rPr>
        <w:t>06</w:t>
      </w:r>
      <w:r>
        <w:rPr>
          <w:rFonts w:eastAsia="Calibri"/>
          <w:sz w:val="24"/>
          <w:szCs w:val="24"/>
        </w:rPr>
        <w:t>»</w:t>
      </w:r>
      <w:r>
        <w:rPr>
          <w:sz w:val="24"/>
          <w:szCs w:val="24"/>
        </w:rPr>
        <w:t xml:space="preserve"> </w:t>
      </w:r>
      <w:r w:rsidR="00CD3893">
        <w:rPr>
          <w:sz w:val="24"/>
          <w:szCs w:val="24"/>
        </w:rPr>
        <w:t>дека</w:t>
      </w:r>
      <w:r>
        <w:rPr>
          <w:sz w:val="24"/>
          <w:szCs w:val="24"/>
        </w:rPr>
        <w:t xml:space="preserve">бря 2024 года (включительно). </w:t>
      </w:r>
    </w:p>
    <w:p w:rsidR="005A764D" w:rsidRDefault="00CD32C3" w:rsidP="00760944">
      <w:pPr>
        <w:ind w:right="-24"/>
        <w:jc w:val="both"/>
        <w:rPr>
          <w:sz w:val="24"/>
          <w:szCs w:val="24"/>
        </w:rPr>
      </w:pPr>
      <w:r>
        <w:rPr>
          <w:b/>
          <w:sz w:val="24"/>
          <w:szCs w:val="24"/>
        </w:rPr>
        <w:t>Место выполнения работ:</w:t>
      </w:r>
      <w:r>
        <w:rPr>
          <w:sz w:val="24"/>
          <w:szCs w:val="24"/>
        </w:rPr>
        <w:t xml:space="preserve"> Российская Федерация. </w:t>
      </w:r>
    </w:p>
    <w:p w:rsidR="005A764D" w:rsidRDefault="00CD32C3" w:rsidP="00760944">
      <w:pPr>
        <w:ind w:right="-24"/>
        <w:jc w:val="both"/>
        <w:rPr>
          <w:sz w:val="24"/>
          <w:szCs w:val="24"/>
        </w:rPr>
      </w:pPr>
      <w:r>
        <w:rPr>
          <w:b/>
          <w:sz w:val="24"/>
          <w:szCs w:val="24"/>
        </w:rPr>
        <w:t xml:space="preserve">Место жительства (место пребывания, фактического проживания) Получателей: </w:t>
      </w:r>
      <w:r>
        <w:rPr>
          <w:sz w:val="24"/>
          <w:szCs w:val="24"/>
        </w:rPr>
        <w:t xml:space="preserve">Ленинградская область. </w:t>
      </w:r>
    </w:p>
    <w:p w:rsidR="005A764D" w:rsidRPr="00BA6211" w:rsidRDefault="00CD32C3" w:rsidP="00760944">
      <w:pPr>
        <w:pStyle w:val="ae"/>
        <w:numPr>
          <w:ilvl w:val="0"/>
          <w:numId w:val="7"/>
        </w:numPr>
        <w:ind w:left="0" w:right="-24" w:firstLine="0"/>
        <w:jc w:val="both"/>
      </w:pPr>
      <w:r w:rsidRPr="00BA6211">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5A764D" w:rsidRPr="00BA6211" w:rsidRDefault="00CD32C3" w:rsidP="00760944">
      <w:pPr>
        <w:pStyle w:val="ae"/>
        <w:numPr>
          <w:ilvl w:val="0"/>
          <w:numId w:val="5"/>
        </w:numPr>
        <w:ind w:left="0" w:firstLine="0"/>
        <w:jc w:val="both"/>
        <w:rPr>
          <w:rFonts w:eastAsia="Calibri"/>
          <w:lang w:eastAsia="en-US"/>
        </w:rPr>
      </w:pPr>
      <w:r w:rsidRPr="00BA6211">
        <w:rPr>
          <w:rFonts w:eastAsia="Calibri"/>
          <w:lang w:eastAsia="en-US"/>
        </w:rPr>
        <w:t>Исполнитель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Изделие подлежит регистрации), и (или) декларации о соответствии или сертификата соответствия изготовляемого Изделия либо иных документов, свидетельствующих о качестве и безопасности Изделия, предусмотренных действующим законодательством Российской Федерации (при наличии). В случае окончания срока действия указанных документов до полного исполнения обязательств по государственному контракту Исполнитель в установленные законодательством Российской Федерации сроки обязан обеспечить их продление либо получение новых.</w:t>
      </w:r>
    </w:p>
    <w:p w:rsidR="005A764D" w:rsidRDefault="00CD32C3" w:rsidP="00760944">
      <w:pPr>
        <w:numPr>
          <w:ilvl w:val="0"/>
          <w:numId w:val="5"/>
        </w:numPr>
        <w:tabs>
          <w:tab w:val="left" w:pos="284"/>
        </w:tabs>
        <w:ind w:left="0" w:right="-284" w:firstLine="0"/>
        <w:contextualSpacing/>
        <w:rPr>
          <w:sz w:val="24"/>
          <w:szCs w:val="24"/>
        </w:rPr>
      </w:pPr>
      <w:r>
        <w:rPr>
          <w:sz w:val="24"/>
          <w:szCs w:val="24"/>
        </w:rPr>
        <w:t>Характеристики объекта закупки.</w:t>
      </w:r>
    </w:p>
    <w:p w:rsidR="005A764D" w:rsidRDefault="00BA6211" w:rsidP="00760944">
      <w:pPr>
        <w:numPr>
          <w:ilvl w:val="1"/>
          <w:numId w:val="5"/>
        </w:numPr>
        <w:tabs>
          <w:tab w:val="left" w:pos="0"/>
        </w:tabs>
        <w:ind w:left="0" w:right="-284" w:firstLine="0"/>
        <w:contextualSpacing/>
        <w:rPr>
          <w:sz w:val="24"/>
          <w:szCs w:val="24"/>
        </w:rPr>
      </w:pPr>
      <w:r w:rsidRPr="005B28F9">
        <w:rPr>
          <w:sz w:val="24"/>
          <w:szCs w:val="24"/>
        </w:rPr>
        <w:t xml:space="preserve"> </w:t>
      </w:r>
      <w:r w:rsidR="00CD32C3">
        <w:rPr>
          <w:sz w:val="24"/>
          <w:szCs w:val="24"/>
        </w:rPr>
        <w:t>Функциональные и технические характеристики объекта закупки:</w:t>
      </w:r>
    </w:p>
    <w:tbl>
      <w:tblPr>
        <w:tblW w:w="1028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560"/>
        <w:gridCol w:w="5670"/>
        <w:gridCol w:w="1416"/>
        <w:gridCol w:w="992"/>
      </w:tblGrid>
      <w:tr w:rsidR="005A764D" w:rsidTr="00D34F29">
        <w:trPr>
          <w:trHeight w:val="489"/>
        </w:trPr>
        <w:tc>
          <w:tcPr>
            <w:tcW w:w="649" w:type="dxa"/>
            <w:shd w:val="clear" w:color="auto" w:fill="auto"/>
          </w:tcPr>
          <w:p w:rsidR="005A764D" w:rsidRDefault="00CD32C3" w:rsidP="00760944">
            <w:pPr>
              <w:rPr>
                <w:sz w:val="24"/>
                <w:szCs w:val="24"/>
              </w:rPr>
            </w:pPr>
            <w:r>
              <w:rPr>
                <w:sz w:val="24"/>
                <w:szCs w:val="24"/>
              </w:rPr>
              <w:t>№</w:t>
            </w:r>
          </w:p>
          <w:p w:rsidR="005A764D" w:rsidRDefault="00CD32C3" w:rsidP="00760944">
            <w:pPr>
              <w:rPr>
                <w:sz w:val="24"/>
                <w:szCs w:val="24"/>
              </w:rPr>
            </w:pPr>
            <w:r>
              <w:rPr>
                <w:sz w:val="24"/>
                <w:szCs w:val="24"/>
              </w:rPr>
              <w:t>п/п</w:t>
            </w:r>
          </w:p>
        </w:tc>
        <w:tc>
          <w:tcPr>
            <w:tcW w:w="1560" w:type="dxa"/>
          </w:tcPr>
          <w:p w:rsidR="005A764D" w:rsidRDefault="00CD32C3" w:rsidP="00760944">
            <w:pPr>
              <w:rPr>
                <w:sz w:val="24"/>
                <w:szCs w:val="24"/>
              </w:rPr>
            </w:pPr>
            <w:r>
              <w:rPr>
                <w:sz w:val="24"/>
                <w:szCs w:val="24"/>
              </w:rPr>
              <w:t xml:space="preserve">Наименование Изделия </w:t>
            </w:r>
          </w:p>
        </w:tc>
        <w:tc>
          <w:tcPr>
            <w:tcW w:w="5670" w:type="dxa"/>
            <w:shd w:val="clear" w:color="auto" w:fill="auto"/>
          </w:tcPr>
          <w:p w:rsidR="005A764D" w:rsidRDefault="00CD32C3" w:rsidP="00760944">
            <w:pPr>
              <w:jc w:val="center"/>
              <w:rPr>
                <w:sz w:val="24"/>
                <w:szCs w:val="24"/>
              </w:rPr>
            </w:pPr>
            <w:r>
              <w:rPr>
                <w:sz w:val="24"/>
                <w:szCs w:val="24"/>
              </w:rPr>
              <w:t>Характеристика Изделия</w:t>
            </w:r>
          </w:p>
        </w:tc>
        <w:tc>
          <w:tcPr>
            <w:tcW w:w="1416" w:type="dxa"/>
          </w:tcPr>
          <w:p w:rsidR="005A764D" w:rsidRDefault="00CD32C3" w:rsidP="00760944">
            <w:pPr>
              <w:rPr>
                <w:sz w:val="24"/>
                <w:szCs w:val="24"/>
              </w:rPr>
            </w:pPr>
            <w:r>
              <w:rPr>
                <w:sz w:val="24"/>
                <w:szCs w:val="24"/>
              </w:rPr>
              <w:t>Показатель характеристики</w:t>
            </w:r>
          </w:p>
        </w:tc>
        <w:tc>
          <w:tcPr>
            <w:tcW w:w="992" w:type="dxa"/>
            <w:shd w:val="clear" w:color="auto" w:fill="auto"/>
          </w:tcPr>
          <w:p w:rsidR="005A764D" w:rsidRDefault="005D400B" w:rsidP="00760944">
            <w:pPr>
              <w:jc w:val="center"/>
              <w:rPr>
                <w:sz w:val="24"/>
                <w:szCs w:val="24"/>
              </w:rPr>
            </w:pPr>
            <w:r>
              <w:rPr>
                <w:sz w:val="24"/>
                <w:szCs w:val="24"/>
              </w:rPr>
              <w:t>Объем, шт.</w:t>
            </w:r>
          </w:p>
        </w:tc>
      </w:tr>
      <w:tr w:rsidR="005A764D">
        <w:trPr>
          <w:trHeight w:val="1544"/>
        </w:trPr>
        <w:tc>
          <w:tcPr>
            <w:tcW w:w="649" w:type="dxa"/>
            <w:shd w:val="clear" w:color="auto" w:fill="auto"/>
          </w:tcPr>
          <w:p w:rsidR="005A764D" w:rsidRDefault="00CD32C3" w:rsidP="00760944">
            <w:pPr>
              <w:rPr>
                <w:sz w:val="22"/>
                <w:szCs w:val="22"/>
              </w:rPr>
            </w:pPr>
            <w:r>
              <w:rPr>
                <w:sz w:val="22"/>
                <w:szCs w:val="22"/>
              </w:rPr>
              <w:t>1</w:t>
            </w:r>
          </w:p>
        </w:tc>
        <w:tc>
          <w:tcPr>
            <w:tcW w:w="1560" w:type="dxa"/>
          </w:tcPr>
          <w:p w:rsidR="005A764D" w:rsidRDefault="00CD3893" w:rsidP="00760944">
            <w:pPr>
              <w:rPr>
                <w:sz w:val="22"/>
                <w:szCs w:val="22"/>
              </w:rPr>
            </w:pPr>
            <w:r w:rsidRPr="00CD3893">
              <w:rPr>
                <w:sz w:val="24"/>
                <w:szCs w:val="24"/>
              </w:rPr>
              <w:t>Протез бедра модульный с микропроцессорным управлением</w:t>
            </w:r>
          </w:p>
        </w:tc>
        <w:tc>
          <w:tcPr>
            <w:tcW w:w="5670" w:type="dxa"/>
            <w:shd w:val="clear" w:color="auto" w:fill="auto"/>
          </w:tcPr>
          <w:p w:rsidR="005A764D" w:rsidRDefault="005D400B" w:rsidP="00760944">
            <w:pPr>
              <w:ind w:firstLine="284"/>
              <w:jc w:val="both"/>
              <w:rPr>
                <w:sz w:val="22"/>
                <w:szCs w:val="22"/>
              </w:rPr>
            </w:pPr>
            <w:r>
              <w:rPr>
                <w:sz w:val="24"/>
                <w:szCs w:val="24"/>
              </w:rPr>
              <w:t>Изделие</w:t>
            </w:r>
            <w:r w:rsidR="00CD3893" w:rsidRPr="00CD3893">
              <w:rPr>
                <w:sz w:val="24"/>
                <w:szCs w:val="24"/>
              </w:rPr>
              <w:t xml:space="preserve"> </w:t>
            </w:r>
            <w:r w:rsidR="00CD3893">
              <w:rPr>
                <w:sz w:val="24"/>
                <w:szCs w:val="24"/>
              </w:rPr>
              <w:t>для П</w:t>
            </w:r>
            <w:r w:rsidR="00CD3893" w:rsidRPr="00CD3893">
              <w:rPr>
                <w:sz w:val="24"/>
                <w:szCs w:val="24"/>
              </w:rPr>
              <w:t>олучателя</w:t>
            </w:r>
            <w:r w:rsidR="00CD3893">
              <w:rPr>
                <w:sz w:val="24"/>
                <w:szCs w:val="24"/>
              </w:rPr>
              <w:t xml:space="preserve"> со следующим </w:t>
            </w:r>
            <w:r w:rsidR="00CD3893" w:rsidRPr="00CD3893">
              <w:rPr>
                <w:sz w:val="24"/>
                <w:szCs w:val="24"/>
              </w:rPr>
              <w:t>уровн</w:t>
            </w:r>
            <w:r w:rsidR="00CD3893">
              <w:rPr>
                <w:sz w:val="24"/>
                <w:szCs w:val="24"/>
              </w:rPr>
              <w:t>ем</w:t>
            </w:r>
            <w:r w:rsidR="00CD3893" w:rsidRPr="00CD3893">
              <w:rPr>
                <w:sz w:val="24"/>
                <w:szCs w:val="24"/>
              </w:rPr>
              <w:t xml:space="preserve"> ампутации:</w:t>
            </w:r>
            <w:r w:rsidR="00CD3893">
              <w:rPr>
                <w:sz w:val="24"/>
                <w:szCs w:val="24"/>
              </w:rPr>
              <w:t xml:space="preserve"> средняя треть бедра.</w:t>
            </w:r>
            <w:r>
              <w:rPr>
                <w:sz w:val="24"/>
                <w:szCs w:val="24"/>
              </w:rPr>
              <w:t xml:space="preserve"> </w:t>
            </w:r>
            <w:r w:rsidR="00CD3893" w:rsidRPr="00CD3893">
              <w:rPr>
                <w:sz w:val="24"/>
                <w:szCs w:val="24"/>
              </w:rPr>
              <w:t>Изделие дол</w:t>
            </w:r>
            <w:r>
              <w:rPr>
                <w:sz w:val="24"/>
                <w:szCs w:val="24"/>
              </w:rPr>
              <w:t>жно учитывать состояние культи П</w:t>
            </w:r>
            <w:r w:rsidR="00CD3893" w:rsidRPr="00CD3893">
              <w:rPr>
                <w:sz w:val="24"/>
                <w:szCs w:val="24"/>
              </w:rPr>
              <w:t>олучателя: функциональная</w:t>
            </w:r>
            <w:r>
              <w:rPr>
                <w:sz w:val="24"/>
                <w:szCs w:val="24"/>
              </w:rPr>
              <w:t xml:space="preserve">. </w:t>
            </w:r>
            <w:r w:rsidR="00CD3893" w:rsidRPr="00CD3893">
              <w:rPr>
                <w:sz w:val="24"/>
                <w:szCs w:val="24"/>
              </w:rPr>
              <w:t xml:space="preserve">Изделие должно соответствовать </w:t>
            </w:r>
            <w:r>
              <w:rPr>
                <w:sz w:val="24"/>
                <w:szCs w:val="24"/>
              </w:rPr>
              <w:t>уровню активности П</w:t>
            </w:r>
            <w:r w:rsidR="00CD3893" w:rsidRPr="00CD3893">
              <w:rPr>
                <w:sz w:val="24"/>
                <w:szCs w:val="24"/>
              </w:rPr>
              <w:t>олучателя:</w:t>
            </w:r>
            <w:r>
              <w:rPr>
                <w:sz w:val="24"/>
                <w:szCs w:val="24"/>
              </w:rPr>
              <w:t xml:space="preserve"> 2 – 3. </w:t>
            </w:r>
            <w:r w:rsidR="00CD3893" w:rsidRPr="00CD3893">
              <w:rPr>
                <w:sz w:val="24"/>
                <w:szCs w:val="24"/>
              </w:rPr>
              <w:t>Изделие должно соответствовать весовым и нагрузочным параметрам пациента</w:t>
            </w:r>
            <w:r>
              <w:rPr>
                <w:sz w:val="24"/>
                <w:szCs w:val="24"/>
              </w:rPr>
              <w:t xml:space="preserve"> (вес П</w:t>
            </w:r>
            <w:r w:rsidR="00CD3893" w:rsidRPr="00CD3893">
              <w:rPr>
                <w:sz w:val="24"/>
                <w:szCs w:val="24"/>
              </w:rPr>
              <w:t>олучателя: 50 кг</w:t>
            </w:r>
            <w:r w:rsidR="00295C2D">
              <w:rPr>
                <w:sz w:val="24"/>
                <w:szCs w:val="24"/>
              </w:rPr>
              <w:t xml:space="preserve"> (включительно))</w:t>
            </w:r>
            <w:r>
              <w:rPr>
                <w:sz w:val="24"/>
                <w:szCs w:val="24"/>
              </w:rPr>
              <w:t xml:space="preserve">. </w:t>
            </w:r>
            <w:r w:rsidR="00CD3893" w:rsidRPr="00CD3893">
              <w:rPr>
                <w:sz w:val="24"/>
                <w:szCs w:val="24"/>
              </w:rPr>
              <w:t xml:space="preserve">Приемная гильза должна быть изготовлена в зависимости </w:t>
            </w:r>
            <w:r>
              <w:rPr>
                <w:sz w:val="24"/>
                <w:szCs w:val="24"/>
              </w:rPr>
              <w:t>от индивидуальных особенностей П</w:t>
            </w:r>
            <w:r w:rsidR="00CD3893" w:rsidRPr="00CD3893">
              <w:rPr>
                <w:sz w:val="24"/>
                <w:szCs w:val="24"/>
              </w:rPr>
              <w:t>олучателя: комбинированная с систем</w:t>
            </w:r>
            <w:r>
              <w:rPr>
                <w:sz w:val="24"/>
                <w:szCs w:val="24"/>
              </w:rPr>
              <w:t xml:space="preserve">ой регулировки культи. </w:t>
            </w:r>
            <w:r w:rsidR="00CD3893" w:rsidRPr="00CD3893">
              <w:rPr>
                <w:sz w:val="24"/>
                <w:szCs w:val="24"/>
              </w:rPr>
              <w:t>Вкладные элементы: вкладная гильза из силикона</w:t>
            </w:r>
            <w:r>
              <w:rPr>
                <w:sz w:val="24"/>
                <w:szCs w:val="24"/>
              </w:rPr>
              <w:t xml:space="preserve">. </w:t>
            </w:r>
            <w:r w:rsidR="00CD3893" w:rsidRPr="00CD3893">
              <w:rPr>
                <w:sz w:val="24"/>
                <w:szCs w:val="24"/>
              </w:rPr>
              <w:t>Конструкти</w:t>
            </w:r>
            <w:r>
              <w:rPr>
                <w:sz w:val="24"/>
                <w:szCs w:val="24"/>
              </w:rPr>
              <w:t>вные особенности модуля стопы: с</w:t>
            </w:r>
            <w:r w:rsidR="00CD3893" w:rsidRPr="00CD3893">
              <w:rPr>
                <w:sz w:val="24"/>
                <w:szCs w:val="24"/>
              </w:rPr>
              <w:t>топа из композиционных</w:t>
            </w:r>
            <w:r>
              <w:rPr>
                <w:sz w:val="24"/>
                <w:szCs w:val="24"/>
              </w:rPr>
              <w:t xml:space="preserve"> материалов (энергосберегающая). </w:t>
            </w:r>
            <w:r w:rsidR="00CD3893" w:rsidRPr="00CD3893">
              <w:rPr>
                <w:sz w:val="24"/>
                <w:szCs w:val="24"/>
              </w:rPr>
              <w:t>Конструктивные</w:t>
            </w:r>
            <w:r w:rsidR="008C52C4">
              <w:rPr>
                <w:sz w:val="24"/>
                <w:szCs w:val="24"/>
              </w:rPr>
              <w:t xml:space="preserve"> особенности коленного модуля: к</w:t>
            </w:r>
            <w:r w:rsidR="00CD3893" w:rsidRPr="00CD3893">
              <w:rPr>
                <w:sz w:val="24"/>
                <w:szCs w:val="24"/>
              </w:rPr>
              <w:t>оленный модуль с микропроцессорным управлением</w:t>
            </w:r>
            <w:r>
              <w:rPr>
                <w:sz w:val="24"/>
                <w:szCs w:val="24"/>
              </w:rPr>
              <w:t>,</w:t>
            </w:r>
            <w:r w:rsidR="00CD3893" w:rsidRPr="00CD3893">
              <w:rPr>
                <w:sz w:val="24"/>
                <w:szCs w:val="24"/>
              </w:rPr>
              <w:t xml:space="preserve"> влагозащищенный</w:t>
            </w:r>
            <w:r>
              <w:rPr>
                <w:sz w:val="24"/>
                <w:szCs w:val="24"/>
              </w:rPr>
              <w:t xml:space="preserve">. </w:t>
            </w:r>
            <w:r w:rsidR="00CD3893" w:rsidRPr="00CD3893">
              <w:rPr>
                <w:sz w:val="24"/>
                <w:szCs w:val="24"/>
              </w:rPr>
              <w:t>Крепление осуществляется одним из следующих видов</w:t>
            </w:r>
            <w:r>
              <w:rPr>
                <w:sz w:val="24"/>
                <w:szCs w:val="24"/>
              </w:rPr>
              <w:t xml:space="preserve">: замок полимерного чехла. </w:t>
            </w:r>
            <w:r w:rsidR="00CD3893" w:rsidRPr="00CD3893">
              <w:rPr>
                <w:sz w:val="24"/>
                <w:szCs w:val="24"/>
              </w:rPr>
              <w:t xml:space="preserve">Отделочные косметические: </w:t>
            </w:r>
            <w:r>
              <w:rPr>
                <w:sz w:val="24"/>
                <w:szCs w:val="24"/>
              </w:rPr>
              <w:t xml:space="preserve">жесткая облицовка. </w:t>
            </w:r>
            <w:r w:rsidR="00CD3893" w:rsidRPr="00CD3893">
              <w:rPr>
                <w:sz w:val="24"/>
                <w:szCs w:val="24"/>
              </w:rPr>
              <w:t xml:space="preserve">Дополнительный компонент (модуль) протеза: </w:t>
            </w:r>
            <w:r>
              <w:rPr>
                <w:sz w:val="24"/>
                <w:szCs w:val="24"/>
              </w:rPr>
              <w:t>п</w:t>
            </w:r>
            <w:r w:rsidR="00CD3893" w:rsidRPr="00CD3893">
              <w:rPr>
                <w:sz w:val="24"/>
                <w:szCs w:val="24"/>
              </w:rPr>
              <w:t>оворотное устройство</w:t>
            </w:r>
            <w:r>
              <w:rPr>
                <w:sz w:val="24"/>
                <w:szCs w:val="24"/>
              </w:rPr>
              <w:t>.</w:t>
            </w:r>
          </w:p>
        </w:tc>
        <w:tc>
          <w:tcPr>
            <w:tcW w:w="1416" w:type="dxa"/>
          </w:tcPr>
          <w:p w:rsidR="005A764D" w:rsidRPr="005D400B" w:rsidRDefault="00CD32C3" w:rsidP="00760944">
            <w:pPr>
              <w:ind w:left="40"/>
              <w:rPr>
                <w:sz w:val="24"/>
                <w:szCs w:val="24"/>
              </w:rPr>
            </w:pPr>
            <w:r w:rsidRPr="005D400B">
              <w:rPr>
                <w:sz w:val="24"/>
                <w:szCs w:val="24"/>
              </w:rPr>
              <w:t>наличие</w:t>
            </w:r>
          </w:p>
        </w:tc>
        <w:tc>
          <w:tcPr>
            <w:tcW w:w="992" w:type="dxa"/>
            <w:shd w:val="clear" w:color="auto" w:fill="auto"/>
          </w:tcPr>
          <w:p w:rsidR="005A764D" w:rsidRDefault="00CD32C3" w:rsidP="00760944">
            <w:pPr>
              <w:jc w:val="center"/>
              <w:rPr>
                <w:sz w:val="24"/>
                <w:szCs w:val="24"/>
              </w:rPr>
            </w:pPr>
            <w:r>
              <w:rPr>
                <w:sz w:val="24"/>
                <w:szCs w:val="24"/>
              </w:rPr>
              <w:t>1</w:t>
            </w:r>
          </w:p>
        </w:tc>
      </w:tr>
      <w:tr w:rsidR="005A764D">
        <w:trPr>
          <w:trHeight w:val="428"/>
        </w:trPr>
        <w:tc>
          <w:tcPr>
            <w:tcW w:w="649" w:type="dxa"/>
            <w:shd w:val="clear" w:color="auto" w:fill="auto"/>
          </w:tcPr>
          <w:p w:rsidR="005A764D" w:rsidRDefault="005A764D" w:rsidP="00760944">
            <w:pPr>
              <w:rPr>
                <w:sz w:val="24"/>
                <w:szCs w:val="24"/>
              </w:rPr>
            </w:pPr>
          </w:p>
        </w:tc>
        <w:tc>
          <w:tcPr>
            <w:tcW w:w="1560" w:type="dxa"/>
          </w:tcPr>
          <w:p w:rsidR="005A764D" w:rsidRDefault="005A764D" w:rsidP="00760944">
            <w:pPr>
              <w:suppressAutoHyphens/>
              <w:snapToGrid w:val="0"/>
              <w:rPr>
                <w:sz w:val="24"/>
                <w:szCs w:val="24"/>
              </w:rPr>
            </w:pPr>
          </w:p>
        </w:tc>
        <w:tc>
          <w:tcPr>
            <w:tcW w:w="5670" w:type="dxa"/>
            <w:shd w:val="clear" w:color="auto" w:fill="auto"/>
          </w:tcPr>
          <w:p w:rsidR="005A764D" w:rsidRDefault="00CD32C3" w:rsidP="00760944">
            <w:pPr>
              <w:jc w:val="both"/>
              <w:rPr>
                <w:sz w:val="24"/>
                <w:szCs w:val="24"/>
              </w:rPr>
            </w:pPr>
            <w:r>
              <w:rPr>
                <w:sz w:val="24"/>
                <w:szCs w:val="24"/>
              </w:rPr>
              <w:t>Итого:</w:t>
            </w:r>
          </w:p>
        </w:tc>
        <w:tc>
          <w:tcPr>
            <w:tcW w:w="1416" w:type="dxa"/>
          </w:tcPr>
          <w:p w:rsidR="005A764D" w:rsidRDefault="005A764D" w:rsidP="00760944">
            <w:pPr>
              <w:jc w:val="center"/>
              <w:rPr>
                <w:sz w:val="24"/>
                <w:szCs w:val="24"/>
              </w:rPr>
            </w:pPr>
          </w:p>
        </w:tc>
        <w:tc>
          <w:tcPr>
            <w:tcW w:w="992" w:type="dxa"/>
            <w:shd w:val="clear" w:color="auto" w:fill="auto"/>
          </w:tcPr>
          <w:p w:rsidR="005A764D" w:rsidRDefault="00CD3893" w:rsidP="00760944">
            <w:pPr>
              <w:jc w:val="center"/>
              <w:rPr>
                <w:sz w:val="24"/>
                <w:szCs w:val="24"/>
              </w:rPr>
            </w:pPr>
            <w:r>
              <w:rPr>
                <w:sz w:val="24"/>
                <w:szCs w:val="24"/>
              </w:rPr>
              <w:t>1</w:t>
            </w:r>
          </w:p>
        </w:tc>
      </w:tr>
    </w:tbl>
    <w:p w:rsidR="005A764D" w:rsidRDefault="00CD32C3" w:rsidP="00760944">
      <w:pPr>
        <w:numPr>
          <w:ilvl w:val="1"/>
          <w:numId w:val="10"/>
        </w:numPr>
        <w:ind w:right="27" w:hanging="10"/>
        <w:jc w:val="both"/>
        <w:rPr>
          <w:color w:val="000000"/>
          <w:sz w:val="24"/>
          <w:szCs w:val="22"/>
        </w:rPr>
      </w:pPr>
      <w:r>
        <w:rPr>
          <w:color w:val="000000"/>
          <w:sz w:val="24"/>
          <w:szCs w:val="22"/>
        </w:rPr>
        <w:t>Качественные характеристики объекта закупки:</w:t>
      </w:r>
    </w:p>
    <w:p w:rsidR="005A764D" w:rsidRDefault="00CD32C3" w:rsidP="00760944">
      <w:pPr>
        <w:numPr>
          <w:ilvl w:val="2"/>
          <w:numId w:val="10"/>
        </w:numPr>
        <w:ind w:left="0" w:right="27" w:hanging="10"/>
        <w:jc w:val="both"/>
        <w:rPr>
          <w:color w:val="000000"/>
          <w:sz w:val="24"/>
          <w:szCs w:val="22"/>
        </w:rPr>
      </w:pPr>
      <w:r>
        <w:rPr>
          <w:color w:val="000000"/>
          <w:sz w:val="24"/>
          <w:szCs w:val="22"/>
        </w:rPr>
        <w:t>При использовании Изделия по назначению не должно создаваться угрозы для жизни и здоровья потребителя, окружающей среды, а также использование Изделия не должно причинять вред имуществу потребителя при его эксплуатации (Закон Российской Федерации от 07.02.1992 №2300-1 «О защите прав потребителей»).</w:t>
      </w:r>
    </w:p>
    <w:p w:rsidR="005A764D" w:rsidRDefault="00CD32C3" w:rsidP="00760944">
      <w:pPr>
        <w:numPr>
          <w:ilvl w:val="2"/>
          <w:numId w:val="10"/>
        </w:numPr>
        <w:ind w:left="0" w:right="27" w:hanging="10"/>
        <w:jc w:val="both"/>
        <w:rPr>
          <w:color w:val="000000"/>
          <w:sz w:val="24"/>
          <w:szCs w:val="22"/>
        </w:rPr>
      </w:pPr>
      <w:r>
        <w:rPr>
          <w:color w:val="000000"/>
          <w:sz w:val="24"/>
          <w:szCs w:val="22"/>
        </w:rPr>
        <w:t>Изделия должны соответствовать следующим государственным стандартам (ГОСТ), действующим на территории Российской Федерации:</w:t>
      </w:r>
    </w:p>
    <w:p w:rsidR="005A764D" w:rsidRDefault="00893DCD" w:rsidP="00760944">
      <w:pPr>
        <w:ind w:right="27"/>
        <w:jc w:val="both"/>
        <w:rPr>
          <w:color w:val="000000"/>
          <w:sz w:val="24"/>
          <w:szCs w:val="22"/>
        </w:rPr>
      </w:pPr>
      <w:r>
        <w:rPr>
          <w:sz w:val="24"/>
          <w:szCs w:val="24"/>
        </w:rPr>
        <w:t xml:space="preserve">- </w:t>
      </w:r>
      <w:r w:rsidR="002467C6" w:rsidRPr="002467C6">
        <w:rPr>
          <w:sz w:val="24"/>
          <w:szCs w:val="24"/>
        </w:rPr>
        <w:t>ГОСТ Р 53869-2021</w:t>
      </w:r>
      <w:r w:rsidR="002467C6">
        <w:rPr>
          <w:color w:val="000000"/>
          <w:sz w:val="24"/>
          <w:szCs w:val="22"/>
        </w:rPr>
        <w:t xml:space="preserve"> </w:t>
      </w:r>
      <w:r w:rsidR="00CD32C3">
        <w:rPr>
          <w:color w:val="000000"/>
          <w:sz w:val="24"/>
          <w:szCs w:val="22"/>
        </w:rPr>
        <w:t>«</w:t>
      </w:r>
      <w:r w:rsidR="002467C6" w:rsidRPr="002467C6">
        <w:rPr>
          <w:sz w:val="24"/>
          <w:szCs w:val="24"/>
        </w:rPr>
        <w:t xml:space="preserve">Протезы нижних конечностей. </w:t>
      </w:r>
      <w:r w:rsidR="00CD32C3">
        <w:rPr>
          <w:color w:val="000000"/>
          <w:sz w:val="24"/>
          <w:szCs w:val="22"/>
        </w:rPr>
        <w:t>Технические требования»;</w:t>
      </w:r>
    </w:p>
    <w:p w:rsidR="005A764D" w:rsidRDefault="00893DCD" w:rsidP="00760944">
      <w:pPr>
        <w:ind w:right="27"/>
        <w:jc w:val="both"/>
        <w:rPr>
          <w:color w:val="000000"/>
          <w:sz w:val="24"/>
          <w:szCs w:val="22"/>
        </w:rPr>
      </w:pPr>
      <w:r>
        <w:rPr>
          <w:color w:val="000000"/>
          <w:sz w:val="24"/>
          <w:szCs w:val="22"/>
        </w:rPr>
        <w:t xml:space="preserve">- </w:t>
      </w:r>
      <w:r w:rsidR="00CD32C3">
        <w:rPr>
          <w:color w:val="000000"/>
          <w:sz w:val="24"/>
          <w:szCs w:val="22"/>
        </w:rPr>
        <w:t>ГОСТ Р 51819-2022 «Протезирование и ортезирование верхних и нижних конечностей. Термины и определения»;</w:t>
      </w:r>
    </w:p>
    <w:p w:rsidR="00786EDC" w:rsidRDefault="002467C6" w:rsidP="00760944">
      <w:pPr>
        <w:ind w:right="27"/>
        <w:jc w:val="both"/>
        <w:rPr>
          <w:color w:val="000000"/>
          <w:sz w:val="24"/>
          <w:szCs w:val="22"/>
        </w:rPr>
      </w:pPr>
      <w:r w:rsidRPr="002467C6">
        <w:rPr>
          <w:sz w:val="24"/>
          <w:szCs w:val="24"/>
        </w:rPr>
        <w:t xml:space="preserve">- </w:t>
      </w:r>
      <w:r>
        <w:rPr>
          <w:sz w:val="24"/>
          <w:szCs w:val="24"/>
          <w:lang w:eastAsia="en-US"/>
        </w:rPr>
        <w:t>ГОСТ Р 53870-2021</w:t>
      </w:r>
      <w:r w:rsidRPr="002467C6">
        <w:rPr>
          <w:sz w:val="24"/>
          <w:szCs w:val="24"/>
          <w:lang w:eastAsia="en-US"/>
        </w:rPr>
        <w:t xml:space="preserve"> </w:t>
      </w:r>
      <w:r>
        <w:rPr>
          <w:sz w:val="24"/>
          <w:szCs w:val="24"/>
          <w:lang w:eastAsia="en-US"/>
        </w:rPr>
        <w:t>«</w:t>
      </w:r>
      <w:r w:rsidRPr="002467C6">
        <w:rPr>
          <w:sz w:val="24"/>
          <w:szCs w:val="24"/>
          <w:lang w:eastAsia="en-US"/>
        </w:rPr>
        <w:t>Реабилитационные мероприятия. Услуги по протезированию нижних конечностей. Состав, содержание и порядок предоставления услуг</w:t>
      </w:r>
      <w:r w:rsidR="00CD32C3">
        <w:rPr>
          <w:color w:val="000000"/>
          <w:sz w:val="24"/>
          <w:szCs w:val="22"/>
        </w:rPr>
        <w:t>»</w:t>
      </w:r>
      <w:r w:rsidR="00786EDC">
        <w:rPr>
          <w:color w:val="000000"/>
          <w:sz w:val="24"/>
          <w:szCs w:val="22"/>
        </w:rPr>
        <w:t>;</w:t>
      </w:r>
    </w:p>
    <w:p w:rsidR="005A764D" w:rsidRDefault="00786EDC" w:rsidP="00760944">
      <w:pPr>
        <w:ind w:right="27"/>
        <w:jc w:val="both"/>
        <w:rPr>
          <w:color w:val="000000"/>
          <w:sz w:val="24"/>
          <w:szCs w:val="22"/>
        </w:rPr>
      </w:pPr>
      <w:r w:rsidRPr="00786EDC">
        <w:rPr>
          <w:sz w:val="24"/>
          <w:szCs w:val="24"/>
        </w:rPr>
        <w:t xml:space="preserve">- </w:t>
      </w:r>
      <w:r w:rsidRPr="00786EDC">
        <w:rPr>
          <w:sz w:val="24"/>
          <w:szCs w:val="24"/>
          <w:lang w:eastAsia="en-US"/>
        </w:rPr>
        <w:t>ГОСТ Р ИСО 13405-2-2018</w:t>
      </w:r>
      <w:r>
        <w:rPr>
          <w:sz w:val="24"/>
          <w:szCs w:val="24"/>
          <w:lang w:eastAsia="en-US"/>
        </w:rPr>
        <w:t xml:space="preserve"> «</w:t>
      </w:r>
      <w:r w:rsidRPr="00786EDC">
        <w:rPr>
          <w:sz w:val="24"/>
          <w:szCs w:val="24"/>
          <w:lang w:eastAsia="en-US"/>
        </w:rPr>
        <w:t>Протезирование и ортопедия. Классификация и описание узлов протезов. Часть 2. Описание узлов протезов нижних конечностей</w:t>
      </w:r>
      <w:r w:rsidR="00CD32C3">
        <w:rPr>
          <w:color w:val="000000"/>
          <w:sz w:val="24"/>
          <w:szCs w:val="22"/>
        </w:rPr>
        <w:t xml:space="preserve">. </w:t>
      </w:r>
    </w:p>
    <w:p w:rsidR="005A764D" w:rsidRDefault="00786EDC" w:rsidP="00760944">
      <w:pPr>
        <w:ind w:right="27"/>
        <w:jc w:val="both"/>
        <w:rPr>
          <w:color w:val="000000"/>
          <w:sz w:val="24"/>
          <w:szCs w:val="22"/>
        </w:rPr>
      </w:pPr>
      <w:r>
        <w:rPr>
          <w:color w:val="000000"/>
          <w:sz w:val="24"/>
          <w:szCs w:val="22"/>
        </w:rPr>
        <w:t>3.</w:t>
      </w:r>
      <w:r w:rsidR="00CD32C3">
        <w:rPr>
          <w:color w:val="000000"/>
          <w:sz w:val="24"/>
          <w:szCs w:val="22"/>
        </w:rPr>
        <w:t>3</w:t>
      </w:r>
      <w:r>
        <w:rPr>
          <w:color w:val="000000"/>
          <w:sz w:val="24"/>
          <w:szCs w:val="22"/>
        </w:rPr>
        <w:t>.</w:t>
      </w:r>
      <w:r w:rsidR="00CD32C3">
        <w:rPr>
          <w:color w:val="000000"/>
          <w:sz w:val="24"/>
          <w:szCs w:val="22"/>
        </w:rPr>
        <w:t xml:space="preserve"> Изделия должны быть новыми,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w:t>
      </w:r>
    </w:p>
    <w:p w:rsidR="005A764D" w:rsidRDefault="00CD32C3" w:rsidP="00760944">
      <w:pPr>
        <w:ind w:right="27"/>
        <w:jc w:val="both"/>
        <w:rPr>
          <w:color w:val="000000"/>
          <w:sz w:val="24"/>
          <w:szCs w:val="22"/>
        </w:rPr>
      </w:pPr>
      <w:r>
        <w:rPr>
          <w:color w:val="000000"/>
          <w:sz w:val="24"/>
          <w:szCs w:val="22"/>
        </w:rPr>
        <w:t>3.4</w:t>
      </w:r>
      <w:r w:rsidR="00786EDC">
        <w:rPr>
          <w:color w:val="000000"/>
          <w:sz w:val="24"/>
          <w:szCs w:val="22"/>
        </w:rPr>
        <w:t>.</w:t>
      </w:r>
      <w:r>
        <w:rPr>
          <w:color w:val="000000"/>
          <w:sz w:val="24"/>
          <w:szCs w:val="22"/>
        </w:rPr>
        <w:t xml:space="preserve">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(п.4.11.5 ГОСТ Р 51632-2021 «Технические средства реабилитации людей с ограничениями жизнедеятельности. Общие технические требования и методы испытаний»). Маркировка, упаковка и хранение протеза должно осуществляться с соблюдением требований ГОСТ Р ИСО 22523-2007 «Протезы конечностей и ортезы наружные. Требования и методы испытаний» (раздел 13.2 «Маркировка», раздел 14 «Упаковка»). Упаковка протеза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5A764D" w:rsidRDefault="00786EDC" w:rsidP="00760944">
      <w:pPr>
        <w:ind w:right="27"/>
        <w:jc w:val="both"/>
        <w:rPr>
          <w:color w:val="000000"/>
          <w:sz w:val="24"/>
          <w:szCs w:val="22"/>
        </w:rPr>
      </w:pPr>
      <w:r>
        <w:rPr>
          <w:color w:val="000000"/>
          <w:sz w:val="24"/>
          <w:szCs w:val="22"/>
        </w:rPr>
        <w:t>3.5</w:t>
      </w:r>
      <w:r w:rsidR="00CD32C3">
        <w:rPr>
          <w:color w:val="000000"/>
          <w:sz w:val="24"/>
          <w:szCs w:val="22"/>
        </w:rPr>
        <w:t xml:space="preserve">. Гарантийный срок на Изделие составляет: </w:t>
      </w:r>
    </w:p>
    <w:p w:rsidR="00234744" w:rsidRDefault="00234744" w:rsidP="00760944">
      <w:pPr>
        <w:jc w:val="both"/>
        <w:rPr>
          <w:sz w:val="24"/>
          <w:szCs w:val="24"/>
        </w:rPr>
      </w:pPr>
      <w:r>
        <w:rPr>
          <w:color w:val="000000"/>
          <w:sz w:val="24"/>
          <w:szCs w:val="22"/>
        </w:rPr>
        <w:t xml:space="preserve">- </w:t>
      </w:r>
      <w:r w:rsidR="00CD32C3">
        <w:rPr>
          <w:color w:val="000000"/>
          <w:sz w:val="24"/>
          <w:szCs w:val="22"/>
        </w:rPr>
        <w:t>на функциональные части и на культеприемную гильзу индивидуального изготовления не менее 12 (двенадцати) месяцев с даты получения Изделия Получателем</w:t>
      </w:r>
      <w:r>
        <w:rPr>
          <w:color w:val="000000"/>
          <w:sz w:val="24"/>
          <w:szCs w:val="22"/>
        </w:rPr>
        <w:t>;</w:t>
      </w:r>
    </w:p>
    <w:p w:rsidR="00234744" w:rsidRDefault="00234744" w:rsidP="00760944">
      <w:pPr>
        <w:jc w:val="both"/>
        <w:rPr>
          <w:bCs/>
          <w:kern w:val="28"/>
          <w:sz w:val="24"/>
          <w:szCs w:val="24"/>
        </w:rPr>
      </w:pPr>
      <w:r>
        <w:rPr>
          <w:sz w:val="24"/>
          <w:szCs w:val="24"/>
        </w:rPr>
        <w:t xml:space="preserve">- </w:t>
      </w:r>
      <w:r w:rsidRPr="00234744">
        <w:rPr>
          <w:bCs/>
          <w:kern w:val="28"/>
          <w:sz w:val="24"/>
          <w:szCs w:val="24"/>
        </w:rPr>
        <w:t>на косметическую оболочку на протез нижней конечности не менее 6 месяцев с момента начала использования Изделия Получателем в соответствии</w:t>
      </w:r>
      <w:r w:rsidRPr="00234744">
        <w:rPr>
          <w:b/>
          <w:bCs/>
          <w:kern w:val="28"/>
          <w:sz w:val="24"/>
          <w:szCs w:val="24"/>
        </w:rPr>
        <w:t xml:space="preserve"> </w:t>
      </w:r>
      <w:r w:rsidRPr="00234744">
        <w:rPr>
          <w:bCs/>
          <w:kern w:val="28"/>
          <w:sz w:val="24"/>
          <w:szCs w:val="24"/>
        </w:rPr>
        <w:t>с приказом Минтруда России от 05.03.2021 №107н «Об утверждении Сроков пользования техническими средствами реабилитации, протезами и протезно-ортопедическими изделиями» (далее – Приказ от 05.03.2021 №107н)</w:t>
      </w:r>
      <w:r>
        <w:rPr>
          <w:bCs/>
          <w:kern w:val="28"/>
          <w:sz w:val="24"/>
          <w:szCs w:val="24"/>
        </w:rPr>
        <w:t>.</w:t>
      </w:r>
    </w:p>
    <w:p w:rsidR="00E00AD0" w:rsidRPr="00E00AD0" w:rsidRDefault="00E00AD0" w:rsidP="00760944">
      <w:pPr>
        <w:ind w:right="-24"/>
        <w:jc w:val="both"/>
        <w:rPr>
          <w:bCs/>
          <w:sz w:val="24"/>
          <w:szCs w:val="24"/>
          <w:lang w:eastAsia="en-US"/>
        </w:rPr>
      </w:pPr>
      <w:r w:rsidRPr="00E00AD0">
        <w:rPr>
          <w:bCs/>
          <w:sz w:val="24"/>
          <w:szCs w:val="24"/>
          <w:lang w:eastAsia="en-US"/>
        </w:rPr>
        <w:t>4. Исполнитель обязан:</w:t>
      </w:r>
    </w:p>
    <w:p w:rsidR="00E00AD0" w:rsidRPr="00E00AD0" w:rsidRDefault="00E00AD0" w:rsidP="00760944">
      <w:pPr>
        <w:ind w:right="-24"/>
        <w:jc w:val="both"/>
        <w:rPr>
          <w:sz w:val="24"/>
          <w:szCs w:val="24"/>
        </w:rPr>
      </w:pPr>
      <w:r w:rsidRPr="00E00AD0">
        <w:rPr>
          <w:bCs/>
          <w:sz w:val="24"/>
          <w:szCs w:val="24"/>
          <w:lang w:eastAsia="en-US"/>
        </w:rPr>
        <w:t xml:space="preserve">4.1. </w:t>
      </w:r>
      <w:r w:rsidRPr="00E00AD0">
        <w:rPr>
          <w:sz w:val="24"/>
          <w:szCs w:val="24"/>
        </w:rPr>
        <w:t>Осуществлять прием Получателя или его представителя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E00AD0" w:rsidRPr="00E00AD0" w:rsidRDefault="00E00AD0" w:rsidP="00760944">
      <w:pPr>
        <w:ind w:right="-24"/>
        <w:jc w:val="both"/>
        <w:rPr>
          <w:sz w:val="24"/>
          <w:szCs w:val="24"/>
        </w:rPr>
      </w:pPr>
      <w:r w:rsidRPr="00E00AD0">
        <w:rPr>
          <w:sz w:val="24"/>
          <w:szCs w:val="24"/>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w:t>
      </w:r>
    </w:p>
    <w:p w:rsidR="00E00AD0" w:rsidRPr="00E00AD0" w:rsidRDefault="00E00AD0" w:rsidP="00760944">
      <w:pPr>
        <w:ind w:right="-24"/>
        <w:jc w:val="both"/>
        <w:rPr>
          <w:sz w:val="24"/>
          <w:szCs w:val="24"/>
        </w:rPr>
      </w:pPr>
      <w:r w:rsidRPr="00E00AD0">
        <w:rPr>
          <w:sz w:val="24"/>
          <w:szCs w:val="24"/>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E00AD0" w:rsidRPr="00E00AD0" w:rsidRDefault="00E00AD0" w:rsidP="00760944">
      <w:pPr>
        <w:jc w:val="both"/>
        <w:rPr>
          <w:sz w:val="24"/>
          <w:szCs w:val="24"/>
        </w:rPr>
      </w:pPr>
      <w:r w:rsidRPr="00E00AD0">
        <w:rPr>
          <w:sz w:val="24"/>
          <w:szCs w:val="24"/>
        </w:rPr>
        <w:t>4.2. 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E00AD0" w:rsidRPr="00E00AD0" w:rsidRDefault="00E00AD0" w:rsidP="00760944">
      <w:pPr>
        <w:ind w:right="-24"/>
        <w:jc w:val="both"/>
        <w:rPr>
          <w:sz w:val="24"/>
          <w:szCs w:val="24"/>
        </w:rPr>
      </w:pPr>
      <w:r w:rsidRPr="00E00AD0">
        <w:rPr>
          <w:sz w:val="24"/>
          <w:szCs w:val="24"/>
        </w:rPr>
        <w:lastRenderedPageBreak/>
        <w:t>4.3. Обеспечить возможность изготовления Изделия со дня, следующего за днем передачи Исполнителю реестра Получателей.</w:t>
      </w:r>
    </w:p>
    <w:p w:rsidR="00E00AD0" w:rsidRPr="00E00AD0" w:rsidRDefault="00E00AD0" w:rsidP="00760944">
      <w:pPr>
        <w:ind w:right="-24"/>
        <w:jc w:val="both"/>
        <w:rPr>
          <w:color w:val="000000"/>
          <w:sz w:val="24"/>
          <w:szCs w:val="24"/>
        </w:rPr>
      </w:pPr>
      <w:r w:rsidRPr="00E00AD0">
        <w:rPr>
          <w:sz w:val="24"/>
          <w:szCs w:val="24"/>
        </w:rPr>
        <w:t>4.4.</w:t>
      </w:r>
      <w:r w:rsidRPr="00E00AD0">
        <w:rPr>
          <w:color w:val="000000"/>
          <w:sz w:val="24"/>
          <w:szCs w:val="24"/>
        </w:rPr>
        <w:t xml:space="preserve"> Осуществлять в течение гарантийного срока за счет собственных средств гарантийный ремонт Изделия и (или) гарантийную замену Изделия, преждевременно вышедших из строя не по вине Получателя, и (или) имеющих скрытые недостатки или дефекты (брак).</w:t>
      </w:r>
    </w:p>
    <w:p w:rsidR="00E00AD0" w:rsidRPr="00E00AD0" w:rsidRDefault="00E00AD0" w:rsidP="00760944">
      <w:pPr>
        <w:jc w:val="both"/>
        <w:rPr>
          <w:sz w:val="24"/>
          <w:szCs w:val="24"/>
        </w:rPr>
      </w:pPr>
      <w:r w:rsidRPr="00E00AD0">
        <w:rPr>
          <w:sz w:val="24"/>
          <w:szCs w:val="24"/>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E00AD0" w:rsidRPr="00E00AD0" w:rsidRDefault="00E00AD0" w:rsidP="00760944">
      <w:pPr>
        <w:jc w:val="both"/>
        <w:rPr>
          <w:sz w:val="24"/>
          <w:szCs w:val="24"/>
        </w:rPr>
      </w:pPr>
      <w:r w:rsidRPr="00E00AD0">
        <w:rPr>
          <w:sz w:val="24"/>
          <w:szCs w:val="24"/>
        </w:rPr>
        <w:t>Срок выполнения гарантийного ремонта Изделия не должен превышать 20 рабочих дней со дня обращения Получателя (Заказчика).</w:t>
      </w:r>
    </w:p>
    <w:p w:rsidR="00E00AD0" w:rsidRPr="00E00AD0" w:rsidRDefault="00E00AD0" w:rsidP="00760944">
      <w:pPr>
        <w:jc w:val="both"/>
        <w:rPr>
          <w:sz w:val="24"/>
          <w:szCs w:val="24"/>
        </w:rPr>
      </w:pPr>
      <w:r w:rsidRPr="00E00AD0">
        <w:rPr>
          <w:sz w:val="24"/>
          <w:szCs w:val="24"/>
        </w:rPr>
        <w:t>Срок осуществления замены Изделия не должен превышать 15 рабочих дней со дня обращения Получателя (Заказчика).</w:t>
      </w:r>
    </w:p>
    <w:p w:rsidR="00E00AD0" w:rsidRPr="00E00AD0" w:rsidRDefault="00E00AD0" w:rsidP="00760944">
      <w:pPr>
        <w:autoSpaceDE w:val="0"/>
        <w:ind w:right="-24"/>
        <w:jc w:val="both"/>
        <w:rPr>
          <w:color w:val="000000"/>
          <w:sz w:val="24"/>
          <w:szCs w:val="24"/>
        </w:rPr>
      </w:pPr>
      <w:r w:rsidRPr="00E00AD0">
        <w:rPr>
          <w:color w:val="000000"/>
          <w:sz w:val="24"/>
          <w:szCs w:val="24"/>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Изделия в период гарантийного срока Исполнитель должен осуществить замену такого Изделия. </w:t>
      </w:r>
    </w:p>
    <w:p w:rsidR="00E00AD0" w:rsidRPr="00E00AD0" w:rsidRDefault="00E00AD0" w:rsidP="00760944">
      <w:pPr>
        <w:autoSpaceDE w:val="0"/>
        <w:ind w:right="-24"/>
        <w:jc w:val="both"/>
        <w:rPr>
          <w:color w:val="000000"/>
          <w:sz w:val="24"/>
          <w:szCs w:val="24"/>
        </w:rPr>
      </w:pPr>
      <w:r w:rsidRPr="00E00AD0">
        <w:rPr>
          <w:color w:val="000000"/>
          <w:sz w:val="24"/>
          <w:szCs w:val="24"/>
        </w:rPr>
        <w:t>В связи с тем, что передача Изделия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Получателя.</w:t>
      </w:r>
    </w:p>
    <w:p w:rsidR="00E00AD0" w:rsidRPr="00E00AD0" w:rsidRDefault="00E00AD0" w:rsidP="00760944">
      <w:pPr>
        <w:suppressAutoHyphens/>
        <w:ind w:right="-24"/>
        <w:jc w:val="both"/>
        <w:rPr>
          <w:sz w:val="24"/>
          <w:szCs w:val="24"/>
        </w:rPr>
      </w:pPr>
      <w:r w:rsidRPr="00E00AD0">
        <w:rPr>
          <w:sz w:val="24"/>
          <w:szCs w:val="24"/>
        </w:rPr>
        <w:t>Прием Получателя по вопросам, касающимся выдачи и гарантийного ремонта Изделия, осуществляется Исполнителем по месту нахождения организованных Исполнителем пунктов приема на территории Санкт-Петербурга.</w:t>
      </w:r>
    </w:p>
    <w:p w:rsidR="00E00AD0" w:rsidRPr="00E00AD0" w:rsidRDefault="00E00AD0" w:rsidP="00760944">
      <w:pPr>
        <w:jc w:val="both"/>
        <w:rPr>
          <w:sz w:val="24"/>
          <w:szCs w:val="24"/>
        </w:rPr>
      </w:pPr>
      <w:r w:rsidRPr="00E00AD0">
        <w:rPr>
          <w:sz w:val="24"/>
          <w:szCs w:val="24"/>
        </w:rPr>
        <w:t>4.5. Давать справки Получателю по вопросам, связанным с изготовлением Изделия, а также осуществлять прием заявок на доставку Изделия по месту нахождения Получателя в часы работы пункта (пунктов) приема Получателей. Для звонков Получателя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E00AD0" w:rsidRPr="00E00AD0" w:rsidRDefault="00E00AD0" w:rsidP="00760944">
      <w:pPr>
        <w:jc w:val="both"/>
        <w:rPr>
          <w:sz w:val="24"/>
          <w:szCs w:val="24"/>
        </w:rPr>
      </w:pPr>
      <w:r w:rsidRPr="00E00AD0">
        <w:rPr>
          <w:sz w:val="24"/>
          <w:szCs w:val="24"/>
        </w:rPr>
        <w:t xml:space="preserve">Звонки с городских номеров Ленинградской области должны быть бесплатными для Получателя, а именно: не допускается взимание дополнительной оплаты телефонных переговоров Получателя в виде предоставления для звонков Получателя телефонного номера оператора сотовой связи, либо телефонного номера, не являющегося номером, обслуживаемым оператором сети местной телефонной связи Ленинградской области; исключается возможность взимания оплаты за звонки Исполнителем. </w:t>
      </w:r>
    </w:p>
    <w:p w:rsidR="00E00AD0" w:rsidRPr="00E00AD0" w:rsidRDefault="00E00AD0" w:rsidP="00760944">
      <w:pPr>
        <w:jc w:val="both"/>
        <w:rPr>
          <w:sz w:val="24"/>
          <w:szCs w:val="24"/>
        </w:rPr>
      </w:pPr>
      <w:r w:rsidRPr="00E00AD0">
        <w:rPr>
          <w:sz w:val="24"/>
          <w:szCs w:val="24"/>
        </w:rPr>
        <w:t>4.6. Вести аудиозаписи телефонных разговоров с Получателем по вопросам получения Изделия. По требованию Заказчика Исполнитель обязан предоставлять такие аудиозаписи. Вести журнал телефонных звонков с Получателей Изделия (передается Заказчиком по мере формирования) с пометкой о времени звонка, результате звонка и выборе Получателем способа, места и времени доставки Изделия.</w:t>
      </w:r>
    </w:p>
    <w:p w:rsidR="00E00AD0" w:rsidRPr="00E00AD0" w:rsidRDefault="00E00AD0" w:rsidP="00760944">
      <w:pPr>
        <w:jc w:val="both"/>
        <w:rPr>
          <w:sz w:val="24"/>
          <w:szCs w:val="24"/>
        </w:rPr>
      </w:pPr>
      <w:r w:rsidRPr="00E00AD0">
        <w:rPr>
          <w:sz w:val="24"/>
          <w:szCs w:val="24"/>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E00AD0" w:rsidRPr="00E00AD0" w:rsidRDefault="00E00AD0" w:rsidP="00760944">
      <w:pPr>
        <w:ind w:right="-24"/>
        <w:jc w:val="both"/>
        <w:rPr>
          <w:sz w:val="24"/>
          <w:szCs w:val="24"/>
        </w:rPr>
      </w:pPr>
      <w:r w:rsidRPr="00E00AD0">
        <w:rPr>
          <w:sz w:val="24"/>
          <w:szCs w:val="24"/>
        </w:rPr>
        <w:t xml:space="preserve">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r w:rsidRPr="00E00AD0">
          <w:rPr>
            <w:sz w:val="24"/>
            <w:szCs w:val="24"/>
          </w:rPr>
          <w:t>osp@ro78.fss.ru</w:t>
        </w:r>
      </w:hyperlink>
      <w:r w:rsidRPr="00E00AD0">
        <w:rPr>
          <w:sz w:val="24"/>
          <w:szCs w:val="24"/>
        </w:rPr>
        <w:t>.</w:t>
      </w:r>
    </w:p>
    <w:p w:rsidR="00E00AD0" w:rsidRPr="00E00AD0" w:rsidRDefault="00E00AD0" w:rsidP="00760944">
      <w:pPr>
        <w:autoSpaceDE w:val="0"/>
        <w:autoSpaceDN w:val="0"/>
        <w:adjustRightInd w:val="0"/>
        <w:jc w:val="both"/>
        <w:rPr>
          <w:sz w:val="24"/>
          <w:szCs w:val="24"/>
        </w:rPr>
      </w:pPr>
      <w:r w:rsidRPr="00E00AD0">
        <w:rPr>
          <w:sz w:val="24"/>
          <w:szCs w:val="24"/>
        </w:rPr>
        <w:lastRenderedPageBreak/>
        <w:t xml:space="preserve">4.8. В случае привлечения к исполнению контракта соисполнителя в срок не позднее 1 (одного) рабочего дня со дня заключения государственного контракта предоставить Заказчику данные о соисполнителе: </w:t>
      </w:r>
    </w:p>
    <w:p w:rsidR="00E00AD0" w:rsidRPr="00E00AD0" w:rsidRDefault="00E00AD0" w:rsidP="00760944">
      <w:pPr>
        <w:numPr>
          <w:ilvl w:val="0"/>
          <w:numId w:val="1"/>
        </w:numPr>
        <w:autoSpaceDE w:val="0"/>
        <w:autoSpaceDN w:val="0"/>
        <w:adjustRightInd w:val="0"/>
        <w:ind w:left="0" w:firstLine="0"/>
        <w:contextualSpacing/>
        <w:jc w:val="both"/>
        <w:rPr>
          <w:sz w:val="24"/>
          <w:szCs w:val="24"/>
          <w:lang w:eastAsia="en-US"/>
        </w:rPr>
      </w:pPr>
      <w:r w:rsidRPr="00E00AD0">
        <w:rPr>
          <w:sz w:val="24"/>
          <w:szCs w:val="24"/>
          <w:lang w:eastAsia="en-US"/>
        </w:rPr>
        <w:t>наименование, фирменное наименование (при наличии), место нахождения, почтовый адрес (для юридического лица);</w:t>
      </w:r>
    </w:p>
    <w:p w:rsidR="00E00AD0" w:rsidRPr="00E00AD0" w:rsidRDefault="00E00AD0" w:rsidP="00760944">
      <w:pPr>
        <w:numPr>
          <w:ilvl w:val="0"/>
          <w:numId w:val="1"/>
        </w:numPr>
        <w:autoSpaceDE w:val="0"/>
        <w:autoSpaceDN w:val="0"/>
        <w:adjustRightInd w:val="0"/>
        <w:ind w:left="0" w:firstLine="0"/>
        <w:contextualSpacing/>
        <w:jc w:val="both"/>
        <w:rPr>
          <w:sz w:val="24"/>
          <w:szCs w:val="24"/>
          <w:lang w:eastAsia="en-US"/>
        </w:rPr>
      </w:pPr>
      <w:r w:rsidRPr="00E00AD0">
        <w:rPr>
          <w:sz w:val="24"/>
          <w:szCs w:val="24"/>
          <w:lang w:eastAsia="en-US"/>
        </w:rPr>
        <w:t>фамилия, имя, отчество (при наличии), паспортные данные, место жительства (для физического лица);</w:t>
      </w:r>
    </w:p>
    <w:p w:rsidR="00E00AD0" w:rsidRPr="00E00AD0" w:rsidRDefault="00E00AD0" w:rsidP="00760944">
      <w:pPr>
        <w:numPr>
          <w:ilvl w:val="0"/>
          <w:numId w:val="1"/>
        </w:numPr>
        <w:autoSpaceDE w:val="0"/>
        <w:autoSpaceDN w:val="0"/>
        <w:adjustRightInd w:val="0"/>
        <w:ind w:left="0" w:firstLine="0"/>
        <w:contextualSpacing/>
        <w:jc w:val="both"/>
        <w:rPr>
          <w:sz w:val="24"/>
          <w:szCs w:val="24"/>
          <w:lang w:eastAsia="en-US"/>
        </w:rPr>
      </w:pPr>
      <w:r w:rsidRPr="00E00AD0">
        <w:rPr>
          <w:sz w:val="24"/>
          <w:szCs w:val="24"/>
          <w:lang w:eastAsia="en-US"/>
        </w:rPr>
        <w:t>номер контактного телефона;</w:t>
      </w:r>
    </w:p>
    <w:p w:rsidR="00E00AD0" w:rsidRPr="00E00AD0" w:rsidRDefault="00E00AD0" w:rsidP="00760944">
      <w:pPr>
        <w:numPr>
          <w:ilvl w:val="0"/>
          <w:numId w:val="1"/>
        </w:numPr>
        <w:autoSpaceDE w:val="0"/>
        <w:autoSpaceDN w:val="0"/>
        <w:adjustRightInd w:val="0"/>
        <w:ind w:left="0" w:firstLine="0"/>
        <w:contextualSpacing/>
        <w:jc w:val="both"/>
        <w:rPr>
          <w:sz w:val="24"/>
          <w:szCs w:val="24"/>
          <w:lang w:eastAsia="en-US"/>
        </w:rPr>
      </w:pPr>
      <w:r w:rsidRPr="00E00AD0">
        <w:rPr>
          <w:sz w:val="24"/>
          <w:szCs w:val="24"/>
          <w:lang w:eastAsia="en-US"/>
        </w:rPr>
        <w:t>адрес электронной почты;</w:t>
      </w:r>
    </w:p>
    <w:p w:rsidR="00E00AD0" w:rsidRPr="00E00AD0" w:rsidRDefault="00E00AD0" w:rsidP="00760944">
      <w:pPr>
        <w:numPr>
          <w:ilvl w:val="0"/>
          <w:numId w:val="1"/>
        </w:numPr>
        <w:autoSpaceDE w:val="0"/>
        <w:autoSpaceDN w:val="0"/>
        <w:adjustRightInd w:val="0"/>
        <w:ind w:left="0" w:firstLine="0"/>
        <w:contextualSpacing/>
        <w:jc w:val="both"/>
        <w:rPr>
          <w:sz w:val="24"/>
          <w:szCs w:val="24"/>
          <w:lang w:eastAsia="en-US"/>
        </w:rPr>
      </w:pPr>
      <w:r w:rsidRPr="00E00AD0">
        <w:rPr>
          <w:sz w:val="24"/>
          <w:szCs w:val="24"/>
          <w:lang w:eastAsia="en-US"/>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00AD0" w:rsidRPr="00E00AD0" w:rsidRDefault="00E00AD0" w:rsidP="00760944">
      <w:pPr>
        <w:numPr>
          <w:ilvl w:val="0"/>
          <w:numId w:val="1"/>
        </w:numPr>
        <w:autoSpaceDE w:val="0"/>
        <w:autoSpaceDN w:val="0"/>
        <w:adjustRightInd w:val="0"/>
        <w:ind w:left="0" w:firstLine="0"/>
        <w:contextualSpacing/>
        <w:jc w:val="both"/>
        <w:rPr>
          <w:sz w:val="24"/>
          <w:szCs w:val="24"/>
          <w:lang w:eastAsia="en-US"/>
        </w:rPr>
      </w:pPr>
      <w:r w:rsidRPr="00E00AD0">
        <w:rPr>
          <w:sz w:val="24"/>
          <w:szCs w:val="24"/>
          <w:lang w:eastAsia="en-US"/>
        </w:rPr>
        <w:t>перечень операций, выполняемых соисполнителем в рамках государственного контракта;</w:t>
      </w:r>
    </w:p>
    <w:p w:rsidR="00E00AD0" w:rsidRPr="00E00AD0" w:rsidRDefault="00E00AD0" w:rsidP="00760944">
      <w:pPr>
        <w:numPr>
          <w:ilvl w:val="0"/>
          <w:numId w:val="1"/>
        </w:numPr>
        <w:autoSpaceDE w:val="0"/>
        <w:autoSpaceDN w:val="0"/>
        <w:adjustRightInd w:val="0"/>
        <w:ind w:left="0" w:firstLine="0"/>
        <w:contextualSpacing/>
        <w:jc w:val="both"/>
        <w:rPr>
          <w:sz w:val="24"/>
          <w:szCs w:val="24"/>
          <w:lang w:eastAsia="en-US"/>
        </w:rPr>
      </w:pPr>
      <w:r w:rsidRPr="00E00AD0">
        <w:rPr>
          <w:sz w:val="24"/>
          <w:szCs w:val="24"/>
          <w:lang w:eastAsia="en-US"/>
        </w:rPr>
        <w:t>срок соисполнительства.</w:t>
      </w:r>
    </w:p>
    <w:p w:rsidR="00E00AD0" w:rsidRPr="00E00AD0" w:rsidRDefault="00E00AD0" w:rsidP="00760944">
      <w:pPr>
        <w:autoSpaceDE w:val="0"/>
        <w:autoSpaceDN w:val="0"/>
        <w:adjustRightInd w:val="0"/>
        <w:jc w:val="both"/>
        <w:rPr>
          <w:sz w:val="24"/>
          <w:szCs w:val="24"/>
        </w:rPr>
      </w:pPr>
      <w:r w:rsidRPr="00E00AD0">
        <w:rPr>
          <w:sz w:val="24"/>
          <w:szCs w:val="24"/>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Исполнителем и соисполнителем.</w:t>
      </w:r>
    </w:p>
    <w:p w:rsidR="00E00AD0" w:rsidRPr="00E00AD0" w:rsidRDefault="00E00AD0" w:rsidP="00760944">
      <w:pPr>
        <w:autoSpaceDE w:val="0"/>
        <w:autoSpaceDN w:val="0"/>
        <w:adjustRightInd w:val="0"/>
        <w:jc w:val="both"/>
        <w:rPr>
          <w:sz w:val="24"/>
          <w:szCs w:val="24"/>
        </w:rPr>
      </w:pPr>
      <w:r w:rsidRPr="00E00AD0">
        <w:rPr>
          <w:sz w:val="24"/>
          <w:szCs w:val="24"/>
        </w:rPr>
        <w:t>При досрочном расторжении договора между Исполнителем и соисполнителем уведомить об этом Заказчика в срок не позднее 1 (одного) рабочего дня со дня расторжения такого договора.</w:t>
      </w:r>
    </w:p>
    <w:p w:rsidR="00E00AD0" w:rsidRPr="0055542D" w:rsidRDefault="00E00AD0" w:rsidP="00760944">
      <w:pPr>
        <w:autoSpaceDE w:val="0"/>
        <w:autoSpaceDN w:val="0"/>
        <w:adjustRightInd w:val="0"/>
        <w:jc w:val="both"/>
        <w:rPr>
          <w:sz w:val="24"/>
          <w:szCs w:val="24"/>
        </w:rPr>
      </w:pPr>
      <w:r w:rsidRPr="00E00AD0">
        <w:rPr>
          <w:sz w:val="24"/>
          <w:szCs w:val="24"/>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9" w:history="1">
        <w:r w:rsidRPr="00E00AD0">
          <w:rPr>
            <w:sz w:val="24"/>
            <w:szCs w:val="24"/>
            <w:lang w:val="en-US"/>
          </w:rPr>
          <w:t>osp</w:t>
        </w:r>
        <w:r w:rsidRPr="00E00AD0">
          <w:rPr>
            <w:sz w:val="24"/>
            <w:szCs w:val="24"/>
          </w:rPr>
          <w:t>@</w:t>
        </w:r>
        <w:r w:rsidRPr="00E00AD0">
          <w:rPr>
            <w:sz w:val="24"/>
            <w:szCs w:val="24"/>
            <w:lang w:val="en-US"/>
          </w:rPr>
          <w:t>ro</w:t>
        </w:r>
        <w:r w:rsidRPr="00E00AD0">
          <w:rPr>
            <w:sz w:val="24"/>
            <w:szCs w:val="24"/>
          </w:rPr>
          <w:t>78.</w:t>
        </w:r>
        <w:r w:rsidRPr="00E00AD0">
          <w:rPr>
            <w:sz w:val="24"/>
            <w:szCs w:val="24"/>
            <w:lang w:val="en-US"/>
          </w:rPr>
          <w:t>fss</w:t>
        </w:r>
        <w:r w:rsidRPr="00E00AD0">
          <w:rPr>
            <w:sz w:val="24"/>
            <w:szCs w:val="24"/>
          </w:rPr>
          <w:t>.</w:t>
        </w:r>
        <w:r w:rsidRPr="00E00AD0">
          <w:rPr>
            <w:sz w:val="24"/>
            <w:szCs w:val="24"/>
            <w:lang w:val="en-US"/>
          </w:rPr>
          <w:t>ru</w:t>
        </w:r>
      </w:hyperlink>
      <w:r w:rsidRPr="00E00AD0">
        <w:rPr>
          <w:sz w:val="24"/>
          <w:szCs w:val="24"/>
        </w:rPr>
        <w:t xml:space="preserve">. </w:t>
      </w:r>
    </w:p>
    <w:p w:rsidR="00FC534A" w:rsidRPr="00E00AD0" w:rsidRDefault="00FC534A" w:rsidP="00760944">
      <w:pPr>
        <w:ind w:right="11"/>
        <w:jc w:val="both"/>
        <w:rPr>
          <w:color w:val="000000"/>
          <w:sz w:val="24"/>
          <w:szCs w:val="24"/>
        </w:rPr>
      </w:pPr>
      <w:r w:rsidRPr="0055542D">
        <w:rPr>
          <w:sz w:val="24"/>
          <w:szCs w:val="24"/>
        </w:rPr>
        <w:t xml:space="preserve">4.9. </w:t>
      </w:r>
      <w:r w:rsidRPr="00E00AD0">
        <w:rPr>
          <w:color w:val="000000"/>
          <w:sz w:val="24"/>
          <w:szCs w:val="24"/>
        </w:rPr>
        <w:t>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p>
    <w:p w:rsidR="00E00AD0" w:rsidRPr="00E00AD0" w:rsidRDefault="00E00AD0" w:rsidP="00760944">
      <w:pPr>
        <w:ind w:right="9"/>
        <w:jc w:val="both"/>
        <w:rPr>
          <w:color w:val="000000"/>
          <w:sz w:val="24"/>
          <w:szCs w:val="24"/>
        </w:rPr>
      </w:pPr>
      <w:r w:rsidRPr="00E00AD0">
        <w:rPr>
          <w:sz w:val="24"/>
          <w:szCs w:val="24"/>
        </w:rPr>
        <w:t xml:space="preserve">5. </w:t>
      </w:r>
      <w:r w:rsidRPr="00E00AD0">
        <w:rPr>
          <w:color w:val="000000"/>
          <w:sz w:val="24"/>
          <w:szCs w:val="24"/>
        </w:rPr>
        <w:t>Способ выдачи Изделий:</w:t>
      </w:r>
    </w:p>
    <w:p w:rsidR="00E00AD0" w:rsidRPr="00E00AD0" w:rsidRDefault="00E00AD0" w:rsidP="00760944">
      <w:pPr>
        <w:ind w:right="9"/>
        <w:jc w:val="both"/>
        <w:rPr>
          <w:color w:val="000000"/>
          <w:sz w:val="24"/>
          <w:szCs w:val="24"/>
        </w:rPr>
      </w:pPr>
      <w:r w:rsidRPr="00E00AD0">
        <w:rPr>
          <w:color w:val="000000"/>
          <w:sz w:val="24"/>
          <w:szCs w:val="24"/>
        </w:rPr>
        <w:t>5.1. Предоставлять Получателям право выбора способа получения Изделий:</w:t>
      </w:r>
    </w:p>
    <w:p w:rsidR="00E00AD0" w:rsidRPr="00E00AD0" w:rsidRDefault="00E00AD0" w:rsidP="00760944">
      <w:pPr>
        <w:numPr>
          <w:ilvl w:val="0"/>
          <w:numId w:val="2"/>
        </w:numPr>
        <w:ind w:left="0" w:right="9"/>
        <w:jc w:val="both"/>
        <w:rPr>
          <w:color w:val="000000"/>
          <w:sz w:val="24"/>
          <w:szCs w:val="24"/>
        </w:rPr>
      </w:pPr>
      <w:r w:rsidRPr="00E00AD0">
        <w:rPr>
          <w:color w:val="000000"/>
          <w:sz w:val="24"/>
          <w:szCs w:val="24"/>
        </w:rPr>
        <w:t>по месту жительства (месту пребывания, фактического проживания) Получателя</w:t>
      </w:r>
      <w:r w:rsidR="004C3F97">
        <w:rPr>
          <w:color w:val="000000"/>
          <w:sz w:val="24"/>
          <w:szCs w:val="24"/>
        </w:rPr>
        <w:t>,</w:t>
      </w:r>
      <w:r w:rsidRPr="00E00AD0">
        <w:rPr>
          <w:color w:val="000000"/>
          <w:sz w:val="24"/>
          <w:szCs w:val="24"/>
        </w:rPr>
        <w:t xml:space="preserve"> в том числе службой доставки (почтовым отправлением) с документом/уведомлением о вручении, подтверждающим факт доставки Изделия;</w:t>
      </w:r>
    </w:p>
    <w:p w:rsidR="00E00AD0" w:rsidRPr="00E00AD0" w:rsidRDefault="00E00AD0" w:rsidP="00760944">
      <w:pPr>
        <w:numPr>
          <w:ilvl w:val="0"/>
          <w:numId w:val="2"/>
        </w:numPr>
        <w:ind w:left="0" w:right="9"/>
        <w:jc w:val="both"/>
        <w:rPr>
          <w:color w:val="000000"/>
          <w:sz w:val="24"/>
          <w:szCs w:val="24"/>
        </w:rPr>
      </w:pPr>
      <w:r w:rsidRPr="00E00AD0">
        <w:rPr>
          <w:color w:val="000000"/>
          <w:sz w:val="24"/>
          <w:szCs w:val="24"/>
        </w:rPr>
        <w:t>в пункте (пунктах) приема Получателей, организованных Исполнителем.</w:t>
      </w:r>
    </w:p>
    <w:p w:rsidR="00E00AD0" w:rsidRPr="00E00AD0" w:rsidRDefault="00E00AD0" w:rsidP="00760944">
      <w:pPr>
        <w:ind w:right="9"/>
        <w:jc w:val="both"/>
        <w:rPr>
          <w:color w:val="000000"/>
          <w:sz w:val="24"/>
          <w:szCs w:val="24"/>
        </w:rPr>
      </w:pPr>
      <w:r w:rsidRPr="00E00AD0">
        <w:rPr>
          <w:color w:val="000000"/>
          <w:sz w:val="24"/>
          <w:szCs w:val="24"/>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E00AD0" w:rsidRPr="00E00AD0" w:rsidRDefault="00E00AD0" w:rsidP="00760944">
      <w:pPr>
        <w:shd w:val="clear" w:color="auto" w:fill="FFFFFF"/>
        <w:jc w:val="both"/>
        <w:rPr>
          <w:color w:val="000000"/>
          <w:sz w:val="24"/>
          <w:szCs w:val="24"/>
        </w:rPr>
      </w:pPr>
      <w:r w:rsidRPr="00E00AD0">
        <w:rPr>
          <w:color w:val="000000"/>
          <w:sz w:val="24"/>
          <w:szCs w:val="24"/>
        </w:rPr>
        <w:t xml:space="preserve">5.2.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которые должны действовать до конца выдачи Изделия, согласно условиям технического задания. </w:t>
      </w:r>
    </w:p>
    <w:p w:rsidR="00E00AD0" w:rsidRPr="00E00AD0" w:rsidRDefault="00E00AD0" w:rsidP="00760944">
      <w:pPr>
        <w:ind w:right="9"/>
        <w:jc w:val="both"/>
        <w:rPr>
          <w:color w:val="000000"/>
          <w:sz w:val="24"/>
          <w:szCs w:val="24"/>
        </w:rPr>
      </w:pPr>
      <w:r w:rsidRPr="00E00AD0">
        <w:rPr>
          <w:color w:val="000000"/>
          <w:sz w:val="24"/>
          <w:szCs w:val="24"/>
        </w:rPr>
        <w:t>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E00AD0" w:rsidRPr="00E00AD0" w:rsidRDefault="00E00AD0" w:rsidP="00760944">
      <w:pPr>
        <w:ind w:right="9"/>
        <w:jc w:val="both"/>
        <w:rPr>
          <w:color w:val="000000"/>
          <w:sz w:val="24"/>
          <w:szCs w:val="24"/>
        </w:rPr>
      </w:pPr>
      <w:r w:rsidRPr="00E00AD0">
        <w:rPr>
          <w:color w:val="000000"/>
          <w:sz w:val="24"/>
          <w:szCs w:val="24"/>
        </w:rPr>
        <w:t>5.3.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E00AD0" w:rsidRPr="00E00AD0" w:rsidRDefault="00E00AD0" w:rsidP="00760944">
      <w:pPr>
        <w:ind w:right="9"/>
        <w:jc w:val="both"/>
        <w:rPr>
          <w:color w:val="000000"/>
          <w:sz w:val="24"/>
          <w:szCs w:val="24"/>
        </w:rPr>
      </w:pPr>
      <w:r w:rsidRPr="00E00AD0">
        <w:rPr>
          <w:color w:val="000000"/>
          <w:sz w:val="24"/>
          <w:szCs w:val="24"/>
        </w:rPr>
        <w:t xml:space="preserve">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w:t>
      </w:r>
      <w:r w:rsidRPr="00E00AD0">
        <w:rPr>
          <w:color w:val="000000"/>
          <w:sz w:val="24"/>
          <w:szCs w:val="24"/>
        </w:rPr>
        <w:lastRenderedPageBreak/>
        <w:t>указанного пункта (пунктов) приема Получателей. Проход в пункт (пункты) приема Получателей и передвижение по ним должны быть беспрепятственны для инвалидов (в случае необходимости, пункты приема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(далее - СП 59.13330.2020).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E00AD0" w:rsidRPr="00E00AD0" w:rsidRDefault="00E00AD0" w:rsidP="00760944">
      <w:pPr>
        <w:suppressAutoHyphens/>
        <w:jc w:val="both"/>
        <w:rPr>
          <w:sz w:val="24"/>
          <w:szCs w:val="24"/>
        </w:rPr>
      </w:pPr>
      <w:r w:rsidRPr="00E00AD0">
        <w:rPr>
          <w:b/>
          <w:sz w:val="24"/>
          <w:szCs w:val="24"/>
        </w:rPr>
        <w:t>Входная группа</w:t>
      </w:r>
      <w:r w:rsidRPr="00E00AD0">
        <w:rPr>
          <w:sz w:val="24"/>
          <w:szCs w:val="24"/>
        </w:rPr>
        <w:t xml:space="preserve"> </w:t>
      </w:r>
    </w:p>
    <w:p w:rsidR="00E00AD0" w:rsidRPr="00E00AD0" w:rsidRDefault="00E00AD0" w:rsidP="00760944">
      <w:pPr>
        <w:suppressAutoHyphens/>
        <w:jc w:val="both"/>
        <w:rPr>
          <w:sz w:val="24"/>
          <w:szCs w:val="24"/>
        </w:rPr>
      </w:pPr>
      <w:r w:rsidRPr="00E00AD0">
        <w:rPr>
          <w:sz w:val="24"/>
          <w:szCs w:val="24"/>
        </w:rPr>
        <w:t>При перепадах высот исполнитель должен учитывать наличие следующих элементов:</w:t>
      </w:r>
    </w:p>
    <w:p w:rsidR="00E00AD0" w:rsidRPr="00E00AD0" w:rsidRDefault="00FC534A" w:rsidP="00760944">
      <w:pPr>
        <w:suppressAutoHyphens/>
        <w:jc w:val="both"/>
        <w:rPr>
          <w:sz w:val="24"/>
          <w:szCs w:val="24"/>
        </w:rPr>
      </w:pPr>
      <w:r>
        <w:rPr>
          <w:sz w:val="24"/>
          <w:szCs w:val="24"/>
        </w:rPr>
        <w:t xml:space="preserve">- Пандус с поручнями </w:t>
      </w:r>
      <w:r w:rsidR="00E00AD0" w:rsidRPr="00E00AD0">
        <w:rPr>
          <w:sz w:val="24"/>
          <w:szCs w:val="24"/>
        </w:rPr>
        <w:t>(в соответствии с п. 5.1.14 – п. 5.1.16; п. 6.1.2 – п. 6.1.4; п. 6.2.9 – п. 6.2.11 СП 59.13330.2020);</w:t>
      </w:r>
    </w:p>
    <w:p w:rsidR="00E00AD0" w:rsidRPr="00E00AD0" w:rsidRDefault="00E00AD0" w:rsidP="00760944">
      <w:pPr>
        <w:suppressAutoHyphens/>
        <w:jc w:val="both"/>
        <w:rPr>
          <w:sz w:val="24"/>
          <w:szCs w:val="24"/>
        </w:rPr>
      </w:pPr>
      <w:r w:rsidRPr="00E00AD0">
        <w:rPr>
          <w:sz w:val="24"/>
          <w:szCs w:val="24"/>
        </w:rPr>
        <w:t>Пандус должен иметь нормативный угол наклона, непрерывное двухстороннее ограждение с поручнями шириной не более 0,9 - 1,0 метра, высотой нижних поручней 0,7 м, а верхних 0,9 м.</w:t>
      </w:r>
    </w:p>
    <w:p w:rsidR="00E00AD0" w:rsidRPr="00E00AD0" w:rsidRDefault="00E00AD0" w:rsidP="00760944">
      <w:pPr>
        <w:suppressAutoHyphens/>
        <w:jc w:val="both"/>
        <w:rPr>
          <w:sz w:val="24"/>
          <w:szCs w:val="24"/>
        </w:rPr>
      </w:pPr>
      <w:r w:rsidRPr="00E00AD0">
        <w:rPr>
          <w:sz w:val="24"/>
          <w:szCs w:val="24"/>
        </w:rPr>
        <w:t>- Лестница с поручнями;</w:t>
      </w:r>
    </w:p>
    <w:p w:rsidR="00E00AD0" w:rsidRPr="00E00AD0" w:rsidRDefault="00E00AD0" w:rsidP="00760944">
      <w:pPr>
        <w:autoSpaceDE w:val="0"/>
        <w:autoSpaceDN w:val="0"/>
        <w:adjustRightInd w:val="0"/>
        <w:jc w:val="both"/>
        <w:rPr>
          <w:sz w:val="24"/>
          <w:szCs w:val="24"/>
        </w:rPr>
      </w:pPr>
      <w:r w:rsidRPr="00E00AD0">
        <w:rPr>
          <w:sz w:val="24"/>
          <w:szCs w:val="24"/>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E00AD0" w:rsidRPr="00E00AD0" w:rsidRDefault="00E00AD0" w:rsidP="00760944">
      <w:pPr>
        <w:suppressAutoHyphens/>
        <w:jc w:val="both"/>
        <w:rPr>
          <w:sz w:val="24"/>
          <w:szCs w:val="24"/>
        </w:rPr>
      </w:pPr>
      <w:r w:rsidRPr="00E00AD0">
        <w:rPr>
          <w:sz w:val="24"/>
          <w:szCs w:val="24"/>
        </w:rPr>
        <w:t>Краевые ступени (плоскость) лестниц необходимо обеспечить противоскользящими контрастными полосами общей шириной 0,08 - 0,1 м (в соответствии с п. 6.2.8 СП 59.13330.2020).</w:t>
      </w:r>
    </w:p>
    <w:p w:rsidR="00E00AD0" w:rsidRPr="00E00AD0" w:rsidRDefault="00E00AD0" w:rsidP="00760944">
      <w:pPr>
        <w:suppressAutoHyphens/>
        <w:jc w:val="both"/>
        <w:rPr>
          <w:sz w:val="24"/>
          <w:szCs w:val="24"/>
        </w:rPr>
      </w:pPr>
      <w:r w:rsidRPr="00E00AD0">
        <w:rPr>
          <w:sz w:val="24"/>
          <w:szCs w:val="24"/>
        </w:rPr>
        <w:t>Применение для инвалидов вместо пандусов аппарелей не допускается на объекте (в соответствии с п. 6.1.2 СП 59.13330.2020).</w:t>
      </w:r>
    </w:p>
    <w:p w:rsidR="00E00AD0" w:rsidRPr="00E00AD0" w:rsidRDefault="00E00AD0" w:rsidP="00760944">
      <w:pPr>
        <w:suppressAutoHyphens/>
        <w:jc w:val="both"/>
        <w:rPr>
          <w:color w:val="000000"/>
          <w:sz w:val="24"/>
          <w:szCs w:val="24"/>
        </w:rPr>
      </w:pPr>
      <w:r w:rsidRPr="00E00AD0">
        <w:rPr>
          <w:color w:val="000000"/>
          <w:sz w:val="24"/>
          <w:szCs w:val="24"/>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E00AD0">
        <w:rPr>
          <w:sz w:val="24"/>
          <w:szCs w:val="24"/>
        </w:rPr>
        <w:t xml:space="preserve">в соответствии с </w:t>
      </w:r>
      <w:r w:rsidRPr="00E00AD0">
        <w:rPr>
          <w:color w:val="000000"/>
          <w:sz w:val="24"/>
          <w:szCs w:val="24"/>
        </w:rPr>
        <w:t>п. 6.1.5, п. 6.1.6, п. 6.2.4 СП 59.13330.2020).</w:t>
      </w:r>
    </w:p>
    <w:p w:rsidR="00E00AD0" w:rsidRPr="00E00AD0" w:rsidRDefault="00E00AD0" w:rsidP="00760944">
      <w:pPr>
        <w:suppressAutoHyphens/>
        <w:jc w:val="both"/>
        <w:rPr>
          <w:sz w:val="24"/>
          <w:szCs w:val="24"/>
        </w:rPr>
      </w:pPr>
      <w:r w:rsidRPr="00E00AD0">
        <w:rPr>
          <w:sz w:val="24"/>
          <w:szCs w:val="24"/>
        </w:rPr>
        <w:t>- Тактильно-контрастные указатели;</w:t>
      </w:r>
    </w:p>
    <w:p w:rsidR="00E00AD0" w:rsidRPr="00E00AD0" w:rsidRDefault="00E00AD0" w:rsidP="00760944">
      <w:pPr>
        <w:suppressAutoHyphens/>
        <w:jc w:val="both"/>
        <w:rPr>
          <w:sz w:val="24"/>
          <w:szCs w:val="24"/>
        </w:rPr>
      </w:pPr>
      <w:r w:rsidRPr="00E00AD0">
        <w:rPr>
          <w:sz w:val="24"/>
          <w:szCs w:val="24"/>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E00AD0" w:rsidRPr="00E00AD0" w:rsidRDefault="00E00AD0" w:rsidP="00760944">
      <w:pPr>
        <w:suppressAutoHyphens/>
        <w:jc w:val="both"/>
        <w:rPr>
          <w:b/>
          <w:sz w:val="24"/>
          <w:szCs w:val="24"/>
        </w:rPr>
      </w:pPr>
      <w:r w:rsidRPr="00E00AD0">
        <w:rPr>
          <w:b/>
          <w:sz w:val="24"/>
          <w:szCs w:val="24"/>
        </w:rPr>
        <w:t xml:space="preserve">Пути движения внутри пункта (пунктов) </w:t>
      </w:r>
      <w:r w:rsidRPr="00E00AD0">
        <w:rPr>
          <w:b/>
          <w:bCs/>
          <w:color w:val="000000"/>
          <w:sz w:val="24"/>
          <w:szCs w:val="24"/>
        </w:rPr>
        <w:t>приема Получателей</w:t>
      </w:r>
    </w:p>
    <w:p w:rsidR="00E00AD0" w:rsidRPr="00E00AD0" w:rsidRDefault="00E00AD0" w:rsidP="00760944">
      <w:pPr>
        <w:suppressAutoHyphens/>
        <w:jc w:val="both"/>
        <w:rPr>
          <w:sz w:val="24"/>
          <w:szCs w:val="24"/>
        </w:rPr>
      </w:pPr>
      <w:r w:rsidRPr="00E00AD0">
        <w:rPr>
          <w:sz w:val="24"/>
          <w:szCs w:val="24"/>
        </w:rPr>
        <w:t>При перепадах высот Исполнитель должен учитывать наличие следующих элементов:</w:t>
      </w:r>
    </w:p>
    <w:p w:rsidR="00E00AD0" w:rsidRPr="00E00AD0" w:rsidRDefault="00E00AD0" w:rsidP="00760944">
      <w:pPr>
        <w:suppressAutoHyphens/>
        <w:jc w:val="both"/>
        <w:rPr>
          <w:b/>
          <w:sz w:val="24"/>
          <w:szCs w:val="24"/>
        </w:rPr>
      </w:pPr>
      <w:r w:rsidRPr="00E00AD0">
        <w:rPr>
          <w:sz w:val="24"/>
          <w:szCs w:val="24"/>
        </w:rPr>
        <w:t>- Лифт, подъемная платформа, эскалатор (в соответствии с п. 6.2.13 – п. 6.2.18 СП 59.13330.2020).</w:t>
      </w:r>
      <w:r w:rsidRPr="00E00AD0">
        <w:rPr>
          <w:b/>
          <w:sz w:val="24"/>
          <w:szCs w:val="24"/>
        </w:rPr>
        <w:t xml:space="preserve"> </w:t>
      </w:r>
    </w:p>
    <w:p w:rsidR="00E00AD0" w:rsidRPr="00E00AD0" w:rsidRDefault="00E00AD0" w:rsidP="00760944">
      <w:pPr>
        <w:suppressAutoHyphens/>
        <w:jc w:val="both"/>
        <w:rPr>
          <w:sz w:val="24"/>
          <w:szCs w:val="24"/>
        </w:rPr>
      </w:pPr>
      <w:r w:rsidRPr="00E00AD0">
        <w:rPr>
          <w:sz w:val="24"/>
          <w:szCs w:val="24"/>
        </w:rPr>
        <w:t>Лифт должен иметь габариты не менее 1100х1400 мм (ширина х глубина).</w:t>
      </w:r>
    </w:p>
    <w:p w:rsidR="00E00AD0" w:rsidRPr="00E00AD0" w:rsidRDefault="00E00AD0" w:rsidP="00760944">
      <w:pPr>
        <w:suppressAutoHyphens/>
        <w:jc w:val="both"/>
        <w:rPr>
          <w:b/>
          <w:sz w:val="24"/>
          <w:szCs w:val="24"/>
        </w:rPr>
      </w:pPr>
      <w:r w:rsidRPr="00E00AD0">
        <w:rPr>
          <w:sz w:val="24"/>
          <w:szCs w:val="24"/>
        </w:rPr>
        <w:t>- Лестницы необходимо обеспечить противоскользящими контрастными полосами общей шириной 0,08 - 0,1 м (в соответствии с п. 6.2.8 СП 59.13330.2020).</w:t>
      </w:r>
    </w:p>
    <w:p w:rsidR="00E00AD0" w:rsidRPr="00E00AD0" w:rsidRDefault="00FC534A" w:rsidP="00760944">
      <w:pPr>
        <w:suppressAutoHyphens/>
        <w:jc w:val="both"/>
        <w:rPr>
          <w:sz w:val="24"/>
          <w:szCs w:val="24"/>
        </w:rPr>
      </w:pPr>
      <w:r>
        <w:rPr>
          <w:sz w:val="24"/>
          <w:szCs w:val="24"/>
        </w:rPr>
        <w:t xml:space="preserve">- </w:t>
      </w:r>
      <w:r w:rsidR="00E00AD0" w:rsidRPr="00E00AD0">
        <w:rPr>
          <w:sz w:val="24"/>
          <w:szCs w:val="24"/>
        </w:rPr>
        <w:t xml:space="preserve">Необходимо обеспечить зону досягаемости для посетителей в кресле-коляске в пределах, установленных в соответствии </w:t>
      </w:r>
      <w:r>
        <w:rPr>
          <w:sz w:val="24"/>
          <w:szCs w:val="24"/>
        </w:rPr>
        <w:t xml:space="preserve">с п. 8.1.7 СП </w:t>
      </w:r>
      <w:r w:rsidR="00E00AD0" w:rsidRPr="00E00AD0">
        <w:rPr>
          <w:sz w:val="24"/>
          <w:szCs w:val="24"/>
        </w:rPr>
        <w:t>59.13330.2020.</w:t>
      </w:r>
    </w:p>
    <w:p w:rsidR="00E00AD0" w:rsidRPr="00E00AD0" w:rsidRDefault="00E00AD0" w:rsidP="00760944">
      <w:pPr>
        <w:suppressAutoHyphens/>
        <w:jc w:val="both"/>
        <w:rPr>
          <w:sz w:val="24"/>
          <w:szCs w:val="24"/>
        </w:rPr>
      </w:pPr>
      <w:r w:rsidRPr="00E00AD0">
        <w:rPr>
          <w:sz w:val="24"/>
          <w:szCs w:val="24"/>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E00AD0" w:rsidRPr="00E00AD0" w:rsidRDefault="00E00AD0" w:rsidP="00760944">
      <w:pPr>
        <w:suppressAutoHyphens/>
        <w:jc w:val="both"/>
        <w:rPr>
          <w:sz w:val="24"/>
          <w:szCs w:val="24"/>
        </w:rPr>
      </w:pPr>
      <w:r w:rsidRPr="00E00AD0">
        <w:rPr>
          <w:sz w:val="24"/>
          <w:szCs w:val="24"/>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E00AD0" w:rsidRPr="00E00AD0" w:rsidRDefault="00FC534A" w:rsidP="00760944">
      <w:pPr>
        <w:suppressAutoHyphens/>
        <w:jc w:val="both"/>
        <w:rPr>
          <w:sz w:val="24"/>
          <w:szCs w:val="24"/>
        </w:rPr>
      </w:pPr>
      <w:r>
        <w:rPr>
          <w:sz w:val="24"/>
          <w:szCs w:val="24"/>
        </w:rPr>
        <w:t>- В целях безопасности</w:t>
      </w:r>
      <w:r w:rsidR="00E00AD0" w:rsidRPr="00E00AD0">
        <w:rPr>
          <w:sz w:val="24"/>
          <w:szCs w:val="24"/>
        </w:rPr>
        <w:t xml:space="preserve"> участки пола на путях движения человека с инвалидностью должны быть оснащены тактильно-контрастными предупреждающими указателями (в соответствии с п. 6.2.3 СП 59.13330.2020).</w:t>
      </w:r>
    </w:p>
    <w:p w:rsidR="00E00AD0" w:rsidRPr="00E00AD0" w:rsidRDefault="00E00AD0" w:rsidP="00760944">
      <w:pPr>
        <w:suppressAutoHyphens/>
        <w:jc w:val="both"/>
        <w:rPr>
          <w:b/>
          <w:sz w:val="24"/>
          <w:szCs w:val="24"/>
        </w:rPr>
      </w:pPr>
      <w:r w:rsidRPr="00E00AD0">
        <w:rPr>
          <w:b/>
          <w:sz w:val="24"/>
          <w:szCs w:val="24"/>
        </w:rPr>
        <w:t>Пути эвакуации</w:t>
      </w:r>
    </w:p>
    <w:p w:rsidR="00E00AD0" w:rsidRPr="00E00AD0" w:rsidRDefault="00E00AD0" w:rsidP="00760944">
      <w:pPr>
        <w:suppressAutoHyphens/>
        <w:jc w:val="both"/>
        <w:rPr>
          <w:sz w:val="24"/>
          <w:szCs w:val="24"/>
        </w:rPr>
      </w:pPr>
      <w:r w:rsidRPr="00E00AD0">
        <w:rPr>
          <w:sz w:val="24"/>
          <w:szCs w:val="24"/>
        </w:rPr>
        <w:t xml:space="preserve">В случае невозможности соблюдения положений </w:t>
      </w:r>
      <w:r w:rsidRPr="00E00AD0">
        <w:rPr>
          <w:sz w:val="24"/>
          <w:szCs w:val="24"/>
          <w:shd w:val="clear" w:color="auto" w:fill="FFFFFF"/>
        </w:rPr>
        <w:t xml:space="preserve">части 15 статьи 89 </w:t>
      </w:r>
      <w:hyperlink r:id="rId10" w:history="1">
        <w:r w:rsidRPr="00E00AD0">
          <w:rPr>
            <w:spacing w:val="2"/>
            <w:sz w:val="24"/>
            <w:szCs w:val="24"/>
          </w:rPr>
          <w:t>Федерального закона от 22.07.2008 №123-ФЗ «Технический регламент о требованиях пожарной безопасности</w:t>
        </w:r>
      </w:hyperlink>
      <w:r w:rsidRPr="00E00AD0">
        <w:rPr>
          <w:sz w:val="24"/>
          <w:szCs w:val="24"/>
        </w:rPr>
        <w:t xml:space="preserve">» </w:t>
      </w:r>
      <w:r w:rsidRPr="00E00AD0">
        <w:rPr>
          <w:sz w:val="24"/>
          <w:szCs w:val="24"/>
        </w:rPr>
        <w:lastRenderedPageBreak/>
        <w:t>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«Свод правил. Доступность зданий и сооружений для маломобильных групп населения».</w:t>
      </w:r>
    </w:p>
    <w:p w:rsidR="00E00AD0" w:rsidRPr="00E00AD0" w:rsidRDefault="00E00AD0" w:rsidP="00760944">
      <w:pPr>
        <w:suppressAutoHyphens/>
        <w:jc w:val="both"/>
        <w:rPr>
          <w:sz w:val="24"/>
          <w:szCs w:val="24"/>
        </w:rPr>
      </w:pPr>
      <w:r w:rsidRPr="00E00AD0">
        <w:rPr>
          <w:sz w:val="24"/>
          <w:szCs w:val="24"/>
        </w:rPr>
        <w:t>Пути эвакуации помещений пункта (пунктов) приема должны обеспечивать безопасность посетителей в соответствии с п. 6.2.19 - п. 6.2.32 СП 59.13330.2020.</w:t>
      </w:r>
    </w:p>
    <w:p w:rsidR="00E00AD0" w:rsidRPr="00E00AD0" w:rsidRDefault="00E00AD0" w:rsidP="00760944">
      <w:pPr>
        <w:suppressAutoHyphens/>
        <w:jc w:val="both"/>
        <w:rPr>
          <w:sz w:val="24"/>
          <w:szCs w:val="24"/>
        </w:rPr>
      </w:pPr>
      <w:r w:rsidRPr="00E00AD0">
        <w:rPr>
          <w:sz w:val="24"/>
          <w:szCs w:val="24"/>
        </w:rPr>
        <w:t>Обеспечить систему двухсторонней связи с диспетчером или дежурным (в соответствии с п. 6.5.8 СП 59.13330.2020).</w:t>
      </w:r>
    </w:p>
    <w:p w:rsidR="00E00AD0" w:rsidRPr="00E00AD0" w:rsidRDefault="00E00AD0" w:rsidP="00760944">
      <w:pPr>
        <w:suppressAutoHyphens/>
        <w:jc w:val="both"/>
        <w:rPr>
          <w:sz w:val="24"/>
          <w:szCs w:val="24"/>
        </w:rPr>
      </w:pPr>
      <w:r w:rsidRPr="00E00AD0">
        <w:rPr>
          <w:sz w:val="24"/>
          <w:szCs w:val="24"/>
        </w:rPr>
        <w:t xml:space="preserve">5.4. На территории пункта приема должны иметься туалетные комнаты, оборудованные для посещения Получателями в соответствии с п. 5.22. </w:t>
      </w:r>
      <w:r w:rsidRPr="00E00AD0">
        <w:rPr>
          <w:bCs/>
          <w:spacing w:val="2"/>
          <w:sz w:val="24"/>
          <w:szCs w:val="24"/>
          <w:shd w:val="clear" w:color="auto" w:fill="FFFFFF"/>
        </w:rPr>
        <w:t>СП 44.13330.2011 Административные и бытовые здания. Актуализированная редакция СНиП 2.09.04-87 (с Поправкой, с Изменениями №1, 2, 3)</w:t>
      </w:r>
      <w:r w:rsidRPr="00E00AD0">
        <w:rPr>
          <w:sz w:val="24"/>
          <w:szCs w:val="24"/>
        </w:rPr>
        <w:t xml:space="preserve">, со свободным доступом Получателей. При чем не менее 1 (одной) оборудованной для посещения инвалидами в соответствии с п. 6.3.3, 6.3.6, </w:t>
      </w:r>
      <w:r w:rsidRPr="00E00AD0">
        <w:rPr>
          <w:spacing w:val="2"/>
          <w:sz w:val="24"/>
          <w:szCs w:val="24"/>
          <w:shd w:val="clear" w:color="auto" w:fill="FFFFFF"/>
        </w:rPr>
        <w:t>6.3.9</w:t>
      </w:r>
      <w:r w:rsidRPr="00E00AD0">
        <w:rPr>
          <w:sz w:val="24"/>
          <w:szCs w:val="24"/>
        </w:rPr>
        <w:t xml:space="preserve"> СП 59.13330.2020.</w:t>
      </w:r>
    </w:p>
    <w:p w:rsidR="00E00AD0" w:rsidRPr="00E00AD0" w:rsidRDefault="00E00AD0" w:rsidP="00760944">
      <w:pPr>
        <w:ind w:right="11"/>
        <w:jc w:val="both"/>
        <w:rPr>
          <w:color w:val="000000"/>
          <w:sz w:val="24"/>
          <w:szCs w:val="24"/>
        </w:rPr>
      </w:pPr>
      <w:r w:rsidRPr="00E00AD0">
        <w:rPr>
          <w:color w:val="000000"/>
          <w:sz w:val="24"/>
          <w:szCs w:val="24"/>
        </w:rPr>
        <w:t xml:space="preserve">5.5. 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E00AD0" w:rsidRPr="00E00AD0" w:rsidRDefault="00E00AD0" w:rsidP="00760944">
      <w:pPr>
        <w:ind w:right="11"/>
        <w:jc w:val="both"/>
        <w:rPr>
          <w:color w:val="000000"/>
          <w:sz w:val="24"/>
          <w:szCs w:val="24"/>
        </w:rPr>
      </w:pPr>
      <w:r w:rsidRPr="00E00AD0">
        <w:rPr>
          <w:color w:val="000000"/>
          <w:sz w:val="24"/>
          <w:szCs w:val="24"/>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E00AD0" w:rsidRPr="00E00AD0" w:rsidRDefault="00E00AD0" w:rsidP="00760944">
      <w:pPr>
        <w:ind w:right="11"/>
        <w:jc w:val="both"/>
        <w:rPr>
          <w:color w:val="000000"/>
          <w:sz w:val="24"/>
          <w:szCs w:val="24"/>
        </w:rPr>
      </w:pPr>
      <w:r w:rsidRPr="00E00AD0">
        <w:rPr>
          <w:color w:val="000000"/>
          <w:sz w:val="24"/>
          <w:szCs w:val="24"/>
        </w:rPr>
        <w:t>5.7. 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E00AD0" w:rsidRPr="00E00AD0" w:rsidRDefault="00E00AD0" w:rsidP="00760944">
      <w:pPr>
        <w:ind w:right="11"/>
        <w:jc w:val="both"/>
        <w:rPr>
          <w:color w:val="000000"/>
          <w:sz w:val="24"/>
          <w:szCs w:val="24"/>
        </w:rPr>
      </w:pPr>
      <w:r w:rsidRPr="00E00AD0">
        <w:rPr>
          <w:color w:val="000000"/>
          <w:sz w:val="24"/>
          <w:szCs w:val="24"/>
        </w:rPr>
        <w:t>5.8. Пункт (пункты) приема Получателей должны иметь следующие условия доступности в соответствии с Приказом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E00AD0" w:rsidRPr="00E00AD0" w:rsidRDefault="00E00AD0" w:rsidP="00760944">
      <w:pPr>
        <w:numPr>
          <w:ilvl w:val="0"/>
          <w:numId w:val="3"/>
        </w:numPr>
        <w:ind w:left="0" w:right="11"/>
        <w:jc w:val="both"/>
        <w:rPr>
          <w:color w:val="000000"/>
          <w:sz w:val="24"/>
          <w:szCs w:val="24"/>
        </w:rPr>
      </w:pPr>
      <w:r w:rsidRPr="00E00AD0">
        <w:rPr>
          <w:color w:val="000000"/>
          <w:sz w:val="24"/>
          <w:szCs w:val="24"/>
        </w:rPr>
        <w:t>возможность беспрепятственного входа в объекты и выхода из них;</w:t>
      </w:r>
    </w:p>
    <w:p w:rsidR="00E00AD0" w:rsidRPr="00E00AD0" w:rsidRDefault="00E00AD0" w:rsidP="00760944">
      <w:pPr>
        <w:numPr>
          <w:ilvl w:val="0"/>
          <w:numId w:val="3"/>
        </w:numPr>
        <w:ind w:left="0" w:right="11"/>
        <w:jc w:val="both"/>
        <w:rPr>
          <w:color w:val="000000"/>
          <w:sz w:val="24"/>
          <w:szCs w:val="24"/>
        </w:rPr>
      </w:pPr>
      <w:r w:rsidRPr="00E00AD0">
        <w:rPr>
          <w:color w:val="000000"/>
          <w:sz w:val="24"/>
          <w:szCs w:val="24"/>
        </w:rPr>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E00AD0" w:rsidRPr="00E00AD0" w:rsidRDefault="00E00AD0" w:rsidP="00760944">
      <w:pPr>
        <w:numPr>
          <w:ilvl w:val="0"/>
          <w:numId w:val="3"/>
        </w:numPr>
        <w:ind w:left="0" w:right="11"/>
        <w:jc w:val="both"/>
        <w:rPr>
          <w:color w:val="000000"/>
          <w:sz w:val="24"/>
          <w:szCs w:val="24"/>
        </w:rPr>
      </w:pPr>
      <w:r w:rsidRPr="00E00AD0">
        <w:rPr>
          <w:color w:val="000000"/>
          <w:sz w:val="24"/>
          <w:szCs w:val="24"/>
        </w:rPr>
        <w:t>сопровождение инвалидов, имеющих стойкие нарушения функции зрения и самостоятельного передвижения по территории объекта;</w:t>
      </w:r>
    </w:p>
    <w:p w:rsidR="00E00AD0" w:rsidRPr="00E00AD0" w:rsidRDefault="00E00AD0" w:rsidP="00760944">
      <w:pPr>
        <w:numPr>
          <w:ilvl w:val="0"/>
          <w:numId w:val="3"/>
        </w:numPr>
        <w:ind w:left="0" w:right="11"/>
        <w:jc w:val="both"/>
        <w:rPr>
          <w:color w:val="000000"/>
          <w:sz w:val="24"/>
          <w:szCs w:val="24"/>
        </w:rPr>
      </w:pPr>
      <w:r w:rsidRPr="00E00AD0">
        <w:rPr>
          <w:color w:val="000000"/>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E00AD0" w:rsidRPr="00E00AD0" w:rsidRDefault="00E00AD0" w:rsidP="00760944">
      <w:pPr>
        <w:numPr>
          <w:ilvl w:val="0"/>
          <w:numId w:val="3"/>
        </w:numPr>
        <w:ind w:left="0" w:right="11"/>
        <w:jc w:val="both"/>
        <w:rPr>
          <w:color w:val="000000"/>
          <w:sz w:val="24"/>
          <w:szCs w:val="24"/>
        </w:rPr>
      </w:pPr>
      <w:r w:rsidRPr="00E00AD0">
        <w:rPr>
          <w:color w:val="000000"/>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00AD0" w:rsidRPr="00E00AD0" w:rsidRDefault="00E00AD0" w:rsidP="00760944">
      <w:pPr>
        <w:numPr>
          <w:ilvl w:val="0"/>
          <w:numId w:val="3"/>
        </w:numPr>
        <w:ind w:left="0" w:right="11"/>
        <w:jc w:val="both"/>
        <w:rPr>
          <w:color w:val="000000"/>
          <w:sz w:val="24"/>
          <w:szCs w:val="24"/>
        </w:rPr>
      </w:pPr>
      <w:r w:rsidRPr="00E00AD0">
        <w:rPr>
          <w:color w:val="000000"/>
          <w:sz w:val="24"/>
          <w:szCs w:val="24"/>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1" w:anchor="block_1000" w:history="1">
        <w:r w:rsidRPr="00E00AD0">
          <w:rPr>
            <w:color w:val="000000"/>
            <w:sz w:val="24"/>
            <w:szCs w:val="24"/>
          </w:rPr>
          <w:t>форме</w:t>
        </w:r>
      </w:hyperlink>
      <w:r w:rsidRPr="00E00AD0">
        <w:rPr>
          <w:color w:val="000000"/>
          <w:sz w:val="24"/>
          <w:szCs w:val="24"/>
        </w:rPr>
        <w:t xml:space="preserve"> и в </w:t>
      </w:r>
      <w:hyperlink r:id="rId12" w:anchor="block_2000" w:history="1">
        <w:r w:rsidRPr="00E00AD0">
          <w:rPr>
            <w:color w:val="000000"/>
            <w:sz w:val="24"/>
            <w:szCs w:val="24"/>
          </w:rPr>
          <w:t>порядке</w:t>
        </w:r>
      </w:hyperlink>
      <w:r w:rsidRPr="00E00AD0">
        <w:rPr>
          <w:color w:val="000000"/>
          <w:sz w:val="24"/>
          <w:szCs w:val="24"/>
        </w:rPr>
        <w:t xml:space="preserve">, утвержденных </w:t>
      </w:r>
      <w:hyperlink r:id="rId13" w:history="1">
        <w:r w:rsidRPr="00E00AD0">
          <w:rPr>
            <w:color w:val="000000"/>
            <w:sz w:val="24"/>
            <w:szCs w:val="24"/>
          </w:rPr>
          <w:t>приказом</w:t>
        </w:r>
      </w:hyperlink>
      <w:r w:rsidRPr="00E00AD0">
        <w:rPr>
          <w:color w:val="000000"/>
          <w:sz w:val="24"/>
          <w:szCs w:val="24"/>
        </w:rPr>
        <w:t xml:space="preserve">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E00AD0" w:rsidRPr="00E00AD0" w:rsidRDefault="00E00AD0" w:rsidP="00760944">
      <w:pPr>
        <w:ind w:right="11"/>
        <w:jc w:val="both"/>
        <w:rPr>
          <w:color w:val="000000"/>
          <w:sz w:val="24"/>
          <w:szCs w:val="24"/>
        </w:rPr>
      </w:pPr>
      <w:r w:rsidRPr="00E00AD0">
        <w:rPr>
          <w:color w:val="000000"/>
          <w:sz w:val="24"/>
          <w:szCs w:val="24"/>
        </w:rPr>
        <w:lastRenderedPageBreak/>
        <w:t>5.9</w:t>
      </w:r>
      <w:r w:rsidR="00FC534A">
        <w:rPr>
          <w:color w:val="000000"/>
          <w:sz w:val="24"/>
          <w:szCs w:val="24"/>
        </w:rPr>
        <w:t>.</w:t>
      </w:r>
      <w:r w:rsidRPr="00E00AD0">
        <w:rPr>
          <w:color w:val="000000"/>
          <w:sz w:val="24"/>
          <w:szCs w:val="24"/>
        </w:rPr>
        <w:t xml:space="preserve"> 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w:t>
      </w:r>
      <w:r w:rsidR="00FC534A">
        <w:rPr>
          <w:color w:val="000000"/>
          <w:sz w:val="24"/>
          <w:szCs w:val="24"/>
        </w:rPr>
        <w:t xml:space="preserve">час. </w:t>
      </w:r>
      <w:r w:rsidRPr="00E00AD0">
        <w:rPr>
          <w:color w:val="000000"/>
          <w:sz w:val="24"/>
          <w:szCs w:val="24"/>
        </w:rPr>
        <w:t>до 22:00</w:t>
      </w:r>
      <w:r w:rsidR="00FC534A">
        <w:rPr>
          <w:color w:val="000000"/>
          <w:sz w:val="24"/>
          <w:szCs w:val="24"/>
        </w:rPr>
        <w:t xml:space="preserve"> час</w:t>
      </w:r>
      <w:r w:rsidRPr="00E00AD0">
        <w:rPr>
          <w:color w:val="000000"/>
          <w:sz w:val="24"/>
          <w:szCs w:val="24"/>
        </w:rPr>
        <w:t>.</w:t>
      </w:r>
    </w:p>
    <w:p w:rsidR="00E00AD0" w:rsidRPr="00E00AD0" w:rsidRDefault="00E00AD0" w:rsidP="00760944">
      <w:pPr>
        <w:ind w:right="9"/>
        <w:jc w:val="both"/>
        <w:rPr>
          <w:color w:val="000000"/>
          <w:sz w:val="24"/>
          <w:szCs w:val="24"/>
        </w:rPr>
      </w:pPr>
      <w:r w:rsidRPr="00E00AD0">
        <w:rPr>
          <w:color w:val="000000"/>
          <w:sz w:val="24"/>
          <w:szCs w:val="24"/>
        </w:rPr>
        <w:t>5.10. Заказчик вправе предоставить Поставщику без взимания платы помещение для организации пункта выдачи Изделия Получателям. Поставщик обязан организовать выдачу Изделия</w:t>
      </w:r>
      <w:r w:rsidR="00FC534A">
        <w:rPr>
          <w:color w:val="000000"/>
          <w:sz w:val="24"/>
          <w:szCs w:val="24"/>
        </w:rPr>
        <w:t xml:space="preserve"> в предложенном пункте выдачи. </w:t>
      </w:r>
    </w:p>
    <w:p w:rsidR="00E00AD0" w:rsidRPr="00E00AD0" w:rsidRDefault="00E00AD0" w:rsidP="00760944">
      <w:pPr>
        <w:ind w:right="11"/>
        <w:jc w:val="both"/>
        <w:rPr>
          <w:color w:val="000000"/>
          <w:sz w:val="24"/>
          <w:szCs w:val="24"/>
        </w:rPr>
      </w:pPr>
      <w:r w:rsidRPr="00E00AD0">
        <w:rPr>
          <w:color w:val="000000"/>
          <w:sz w:val="24"/>
          <w:szCs w:val="24"/>
        </w:rPr>
        <w:t>6. В случае выбора Получателем способа получения Изделий путем передачи Изделий по месту нахождения Получателя, такая доставка осуществляется Исполнителем в пределах ад</w:t>
      </w:r>
      <w:r w:rsidR="00FC534A">
        <w:rPr>
          <w:color w:val="000000"/>
          <w:sz w:val="24"/>
          <w:szCs w:val="24"/>
        </w:rPr>
        <w:t>министративной границы субъекта</w:t>
      </w:r>
      <w:r w:rsidRPr="00E00AD0">
        <w:rPr>
          <w:color w:val="000000"/>
          <w:sz w:val="24"/>
          <w:szCs w:val="24"/>
        </w:rPr>
        <w:t xml:space="preserve"> не менее чем с 10:00 </w:t>
      </w:r>
      <w:r w:rsidR="00FC534A">
        <w:rPr>
          <w:color w:val="000000"/>
          <w:sz w:val="24"/>
          <w:szCs w:val="24"/>
        </w:rPr>
        <w:t xml:space="preserve">час. </w:t>
      </w:r>
      <w:r w:rsidRPr="00E00AD0">
        <w:rPr>
          <w:color w:val="000000"/>
          <w:sz w:val="24"/>
          <w:szCs w:val="24"/>
        </w:rPr>
        <w:t xml:space="preserve">до 21:00 </w:t>
      </w:r>
      <w:r w:rsidR="00FC534A">
        <w:rPr>
          <w:color w:val="000000"/>
          <w:sz w:val="24"/>
          <w:szCs w:val="24"/>
        </w:rPr>
        <w:t xml:space="preserve">час. </w:t>
      </w:r>
      <w:r w:rsidRPr="00E00AD0">
        <w:rPr>
          <w:color w:val="000000"/>
          <w:sz w:val="24"/>
          <w:szCs w:val="24"/>
        </w:rPr>
        <w:t xml:space="preserve">не менее 5 (пяти) дней </w:t>
      </w:r>
      <w:r w:rsidR="00FC534A">
        <w:rPr>
          <w:color w:val="000000"/>
          <w:sz w:val="24"/>
          <w:szCs w:val="24"/>
        </w:rPr>
        <w:t>в неделю</w:t>
      </w:r>
      <w:r w:rsidRPr="00E00AD0">
        <w:rPr>
          <w:color w:val="000000"/>
          <w:sz w:val="24"/>
          <w:szCs w:val="24"/>
        </w:rPr>
        <w:t xml:space="preserve"> по предварительной записи по номеру телефона, предоставленному Заказчику в срок не позднее 1 (одного) рабочего дня с даты заключения государственного контракта. Доставка осуществляется за счет средств Исполнителя.</w:t>
      </w:r>
    </w:p>
    <w:p w:rsidR="00E00AD0" w:rsidRPr="00E00AD0" w:rsidRDefault="00E00AD0" w:rsidP="00760944">
      <w:pPr>
        <w:ind w:right="11"/>
        <w:jc w:val="both"/>
        <w:rPr>
          <w:color w:val="000000"/>
          <w:sz w:val="24"/>
          <w:szCs w:val="24"/>
        </w:rPr>
      </w:pPr>
      <w:r w:rsidRPr="00E00AD0">
        <w:rPr>
          <w:color w:val="000000"/>
          <w:sz w:val="24"/>
          <w:szCs w:val="24"/>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E00AD0" w:rsidRPr="00E00AD0" w:rsidRDefault="00FC534A" w:rsidP="00760944">
      <w:pPr>
        <w:ind w:right="11"/>
        <w:jc w:val="both"/>
        <w:rPr>
          <w:color w:val="000000"/>
          <w:sz w:val="24"/>
          <w:szCs w:val="24"/>
        </w:rPr>
      </w:pPr>
      <w:r>
        <w:rPr>
          <w:color w:val="000000"/>
          <w:sz w:val="24"/>
          <w:szCs w:val="24"/>
        </w:rPr>
        <w:t>7</w:t>
      </w:r>
      <w:r w:rsidR="00E00AD0" w:rsidRPr="00E00AD0">
        <w:rPr>
          <w:color w:val="000000"/>
          <w:sz w:val="24"/>
          <w:szCs w:val="24"/>
        </w:rPr>
        <w:t>.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фотофиксацию и/или видеозапись.</w:t>
      </w:r>
    </w:p>
    <w:p w:rsidR="00E00AD0" w:rsidRDefault="00B31EEA" w:rsidP="00760944">
      <w:pPr>
        <w:jc w:val="both"/>
        <w:rPr>
          <w:bCs/>
          <w:kern w:val="28"/>
          <w:sz w:val="24"/>
          <w:szCs w:val="24"/>
        </w:rPr>
      </w:pPr>
      <w:r>
        <w:rPr>
          <w:color w:val="000000"/>
          <w:sz w:val="24"/>
          <w:szCs w:val="24"/>
        </w:rPr>
        <w:t>8</w:t>
      </w:r>
      <w:r w:rsidR="00E00AD0" w:rsidRPr="00E00AD0">
        <w:rPr>
          <w:color w:val="000000"/>
          <w:sz w:val="24"/>
          <w:szCs w:val="24"/>
        </w:rPr>
        <w:t xml:space="preserve">.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w:t>
      </w:r>
      <w:r w:rsidR="00E00AD0" w:rsidRPr="00E00AD0">
        <w:rPr>
          <w:sz w:val="24"/>
          <w:szCs w:val="24"/>
        </w:rPr>
        <w:t xml:space="preserve">адресу </w:t>
      </w:r>
      <w:hyperlink r:id="rId14" w:history="1">
        <w:r w:rsidR="00E00AD0" w:rsidRPr="00E00AD0">
          <w:rPr>
            <w:sz w:val="24"/>
            <w:szCs w:val="24"/>
          </w:rPr>
          <w:t>osp@ro78.fss.ru</w:t>
        </w:r>
      </w:hyperlink>
      <w:r w:rsidR="00E00AD0" w:rsidRPr="00E00AD0">
        <w:rPr>
          <w:sz w:val="24"/>
          <w:szCs w:val="24"/>
        </w:rPr>
        <w:t>.</w:t>
      </w:r>
    </w:p>
    <w:p w:rsidR="00E00AD0" w:rsidRPr="00234744" w:rsidRDefault="00E00AD0" w:rsidP="00964BA0">
      <w:pPr>
        <w:spacing w:line="192" w:lineRule="auto"/>
        <w:jc w:val="both"/>
        <w:rPr>
          <w:sz w:val="24"/>
          <w:szCs w:val="24"/>
        </w:rPr>
      </w:pPr>
    </w:p>
    <w:sectPr w:rsidR="00E00AD0" w:rsidRPr="00234744" w:rsidSect="00893DCD">
      <w:pgSz w:w="11906" w:h="16838"/>
      <w:pgMar w:top="1134" w:right="680" w:bottom="1134"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E70" w:rsidRDefault="00E05E70">
      <w:r>
        <w:separator/>
      </w:r>
    </w:p>
  </w:endnote>
  <w:endnote w:type="continuationSeparator" w:id="0">
    <w:p w:rsidR="00E05E70" w:rsidRDefault="00E0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E70" w:rsidRDefault="00E05E70">
      <w:r>
        <w:separator/>
      </w:r>
    </w:p>
  </w:footnote>
  <w:footnote w:type="continuationSeparator" w:id="0">
    <w:p w:rsidR="00E05E70" w:rsidRDefault="00E05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
    <w:nsid w:val="01A663C4"/>
    <w:multiLevelType w:val="hybridMultilevel"/>
    <w:tmpl w:val="53205E34"/>
    <w:lvl w:ilvl="0" w:tplc="7BEC9A3C">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9645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20D9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8AE7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0A9A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F65B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12D8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C94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2B8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3723E8F"/>
    <w:multiLevelType w:val="multilevel"/>
    <w:tmpl w:val="7A5A376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556" w:hanging="144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3288" w:hanging="1800"/>
      </w:pPr>
      <w:rPr>
        <w:rFonts w:hint="default"/>
      </w:rPr>
    </w:lvl>
  </w:abstractNum>
  <w:abstractNum w:abstractNumId="4">
    <w:nsid w:val="1D991CE3"/>
    <w:multiLevelType w:val="hybridMultilevel"/>
    <w:tmpl w:val="EA068058"/>
    <w:lvl w:ilvl="0" w:tplc="5222345A">
      <w:start w:val="2"/>
      <w:numFmt w:val="decimal"/>
      <w:lvlText w:val="%1."/>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E47DF2">
      <w:start w:val="1"/>
      <w:numFmt w:val="lowerLetter"/>
      <w:lvlText w:val="%2"/>
      <w:lvlJc w:val="left"/>
      <w:pPr>
        <w:ind w:left="2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809692">
      <w:start w:val="1"/>
      <w:numFmt w:val="lowerRoman"/>
      <w:lvlText w:val="%3"/>
      <w:lvlJc w:val="left"/>
      <w:pPr>
        <w:ind w:left="34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D2A4CC">
      <w:start w:val="1"/>
      <w:numFmt w:val="decimal"/>
      <w:lvlText w:val="%4"/>
      <w:lvlJc w:val="left"/>
      <w:pPr>
        <w:ind w:left="4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19ED420">
      <w:start w:val="1"/>
      <w:numFmt w:val="lowerLetter"/>
      <w:lvlText w:val="%5"/>
      <w:lvlJc w:val="left"/>
      <w:pPr>
        <w:ind w:left="4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1AEB8C">
      <w:start w:val="1"/>
      <w:numFmt w:val="lowerRoman"/>
      <w:lvlText w:val="%6"/>
      <w:lvlJc w:val="left"/>
      <w:pPr>
        <w:ind w:left="5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8C6F8C">
      <w:start w:val="1"/>
      <w:numFmt w:val="decimal"/>
      <w:lvlText w:val="%7"/>
      <w:lvlJc w:val="left"/>
      <w:pPr>
        <w:ind w:left="6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1C399E">
      <w:start w:val="1"/>
      <w:numFmt w:val="lowerLetter"/>
      <w:lvlText w:val="%8"/>
      <w:lvlJc w:val="left"/>
      <w:pPr>
        <w:ind w:left="7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8E7F38">
      <w:start w:val="1"/>
      <w:numFmt w:val="lowerRoman"/>
      <w:lvlText w:val="%9"/>
      <w:lvlJc w:val="left"/>
      <w:pPr>
        <w:ind w:left="7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3179223B"/>
    <w:multiLevelType w:val="multilevel"/>
    <w:tmpl w:val="C9F65A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38F84853"/>
    <w:multiLevelType w:val="hybridMultilevel"/>
    <w:tmpl w:val="D9E22B66"/>
    <w:lvl w:ilvl="0" w:tplc="5C72E5D0">
      <w:start w:val="1"/>
      <w:numFmt w:val="bullet"/>
      <w:lvlText w:val="-"/>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A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2CD7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7AA5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9649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057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434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6677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E2B8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3542C6E"/>
    <w:multiLevelType w:val="hybridMultilevel"/>
    <w:tmpl w:val="86A01410"/>
    <w:lvl w:ilvl="0" w:tplc="F0C200C2">
      <w:start w:val="1"/>
      <w:numFmt w:val="bullet"/>
      <w:lvlText w:val="-"/>
      <w:lvlJc w:val="left"/>
      <w:pPr>
        <w:ind w:left="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3870E8">
      <w:start w:val="1"/>
      <w:numFmt w:val="bullet"/>
      <w:lvlText w:val="o"/>
      <w:lvlJc w:val="left"/>
      <w:pPr>
        <w:ind w:left="1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6076FA">
      <w:start w:val="1"/>
      <w:numFmt w:val="bullet"/>
      <w:lvlText w:val="▪"/>
      <w:lvlJc w:val="left"/>
      <w:pPr>
        <w:ind w:left="1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E6D8D8">
      <w:start w:val="1"/>
      <w:numFmt w:val="bullet"/>
      <w:lvlText w:val="•"/>
      <w:lvlJc w:val="left"/>
      <w:pPr>
        <w:ind w:left="2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1E13D6">
      <w:start w:val="1"/>
      <w:numFmt w:val="bullet"/>
      <w:lvlText w:val="o"/>
      <w:lvlJc w:val="left"/>
      <w:pPr>
        <w:ind w:left="3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A20696">
      <w:start w:val="1"/>
      <w:numFmt w:val="bullet"/>
      <w:lvlText w:val="▪"/>
      <w:lvlJc w:val="left"/>
      <w:pPr>
        <w:ind w:left="4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B287D2">
      <w:start w:val="1"/>
      <w:numFmt w:val="bullet"/>
      <w:lvlText w:val="•"/>
      <w:lvlJc w:val="left"/>
      <w:pPr>
        <w:ind w:left="4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621348">
      <w:start w:val="1"/>
      <w:numFmt w:val="bullet"/>
      <w:lvlText w:val="o"/>
      <w:lvlJc w:val="left"/>
      <w:pPr>
        <w:ind w:left="5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FCABD4">
      <w:start w:val="1"/>
      <w:numFmt w:val="bullet"/>
      <w:lvlText w:val="▪"/>
      <w:lvlJc w:val="left"/>
      <w:pPr>
        <w:ind w:left="6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49FC05F6"/>
    <w:multiLevelType w:val="hybridMultilevel"/>
    <w:tmpl w:val="AE429648"/>
    <w:lvl w:ilvl="0" w:tplc="C472F1D0">
      <w:start w:val="1"/>
      <w:numFmt w:val="bullet"/>
      <w:lvlText w:val="-"/>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78C97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D21C8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CA36A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6E01B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F4272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F6986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F273B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B6CD8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4A491F4C"/>
    <w:multiLevelType w:val="hybridMultilevel"/>
    <w:tmpl w:val="B344A67C"/>
    <w:lvl w:ilvl="0" w:tplc="71B6F494">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AB8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9291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E689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2C8F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A2D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80ED3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C5E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673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D560875"/>
    <w:multiLevelType w:val="hybridMultilevel"/>
    <w:tmpl w:val="2486AC0C"/>
    <w:lvl w:ilvl="0" w:tplc="B55E4964">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B0AC97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D726B5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946A95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08433C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62825C">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4265C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57AFAE4">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85ED25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nsid w:val="5F0C2C56"/>
    <w:multiLevelType w:val="multilevel"/>
    <w:tmpl w:val="4970B05E"/>
    <w:lvl w:ilvl="0">
      <w:start w:val="4"/>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951291"/>
    <w:multiLevelType w:val="multilevel"/>
    <w:tmpl w:val="F6047A86"/>
    <w:lvl w:ilvl="0">
      <w:start w:val="3"/>
      <w:numFmt w:val="decimal"/>
      <w:lvlText w:val="%1."/>
      <w:lvlJc w:val="left"/>
      <w:pPr>
        <w:ind w:left="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3DB6D14"/>
    <w:multiLevelType w:val="hybridMultilevel"/>
    <w:tmpl w:val="E9F02DA8"/>
    <w:lvl w:ilvl="0" w:tplc="CFA6C8A8">
      <w:start w:val="5"/>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9EB4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40B4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6C5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D81E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9229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1C54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21E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0831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5F2146A"/>
    <w:multiLevelType w:val="hybridMultilevel"/>
    <w:tmpl w:val="BCBACB62"/>
    <w:lvl w:ilvl="0" w:tplc="043EFFD2">
      <w:start w:val="1"/>
      <w:numFmt w:val="bullet"/>
      <w:lvlText w:val="-"/>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DE0F296">
      <w:start w:val="1"/>
      <w:numFmt w:val="bullet"/>
      <w:lvlText w:val="o"/>
      <w:lvlJc w:val="left"/>
      <w:pPr>
        <w:ind w:left="11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5B63964">
      <w:start w:val="1"/>
      <w:numFmt w:val="bullet"/>
      <w:lvlText w:val="▪"/>
      <w:lvlJc w:val="left"/>
      <w:pPr>
        <w:ind w:left="18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C0088E0">
      <w:start w:val="1"/>
      <w:numFmt w:val="bullet"/>
      <w:lvlText w:val="∙"/>
      <w:lvlJc w:val="left"/>
      <w:pPr>
        <w:ind w:left="25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D72B3FE">
      <w:start w:val="1"/>
      <w:numFmt w:val="bullet"/>
      <w:lvlText w:val="o"/>
      <w:lvlJc w:val="left"/>
      <w:pPr>
        <w:ind w:left="3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BCE3EF8">
      <w:start w:val="1"/>
      <w:numFmt w:val="bullet"/>
      <w:lvlText w:val="▪"/>
      <w:lvlJc w:val="left"/>
      <w:pPr>
        <w:ind w:left="39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03AF31E">
      <w:start w:val="1"/>
      <w:numFmt w:val="bullet"/>
      <w:lvlText w:val="∙"/>
      <w:lvlJc w:val="left"/>
      <w:pPr>
        <w:ind w:left="4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E8A4A38">
      <w:start w:val="1"/>
      <w:numFmt w:val="bullet"/>
      <w:lvlText w:val="o"/>
      <w:lvlJc w:val="left"/>
      <w:pPr>
        <w:ind w:left="5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5C2B94">
      <w:start w:val="1"/>
      <w:numFmt w:val="bullet"/>
      <w:lvlText w:val="▪"/>
      <w:lvlJc w:val="left"/>
      <w:pPr>
        <w:ind w:left="61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6">
    <w:nsid w:val="768812DC"/>
    <w:multiLevelType w:val="hybridMultilevel"/>
    <w:tmpl w:val="90EC1496"/>
    <w:lvl w:ilvl="0" w:tplc="1BBEAFB6">
      <w:start w:val="1"/>
      <w:numFmt w:val="decimal"/>
      <w:lvlText w:val="%1."/>
      <w:lvlJc w:val="left"/>
      <w:pPr>
        <w:ind w:left="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C03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A21F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567C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DE50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4BA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10E6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8B4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403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B437FF6"/>
    <w:multiLevelType w:val="hybridMultilevel"/>
    <w:tmpl w:val="FCDACC68"/>
    <w:lvl w:ilvl="0" w:tplc="BBE829C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7D2A4A"/>
    <w:multiLevelType w:val="hybridMultilevel"/>
    <w:tmpl w:val="2B72FFBE"/>
    <w:lvl w:ilvl="0" w:tplc="B3FEC0FA">
      <w:start w:val="1"/>
      <w:numFmt w:val="bullet"/>
      <w:lvlText w:val="-"/>
      <w:lvlJc w:val="left"/>
      <w:pPr>
        <w:ind w:left="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7456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F44F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F6F7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6E9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A55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8625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8CEF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64FD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5"/>
  </w:num>
  <w:num w:numId="3">
    <w:abstractNumId w:val="10"/>
  </w:num>
  <w:num w:numId="4">
    <w:abstractNumId w:val="5"/>
  </w:num>
  <w:num w:numId="5">
    <w:abstractNumId w:val="3"/>
  </w:num>
  <w:num w:numId="6">
    <w:abstractNumId w:val="1"/>
  </w:num>
  <w:num w:numId="7">
    <w:abstractNumId w:val="17"/>
  </w:num>
  <w:num w:numId="8">
    <w:abstractNumId w:val="4"/>
  </w:num>
  <w:num w:numId="9">
    <w:abstractNumId w:val="16"/>
  </w:num>
  <w:num w:numId="10">
    <w:abstractNumId w:val="13"/>
  </w:num>
  <w:num w:numId="11">
    <w:abstractNumId w:val="18"/>
  </w:num>
  <w:num w:numId="12">
    <w:abstractNumId w:val="11"/>
  </w:num>
  <w:num w:numId="13">
    <w:abstractNumId w:val="6"/>
  </w:num>
  <w:num w:numId="14">
    <w:abstractNumId w:val="14"/>
  </w:num>
  <w:num w:numId="15">
    <w:abstractNumId w:val="7"/>
  </w:num>
  <w:num w:numId="16">
    <w:abstractNumId w:val="9"/>
  </w:num>
  <w:num w:numId="17">
    <w:abstractNumId w:val="8"/>
  </w:num>
  <w:num w:numId="18">
    <w:abstractNumId w:val="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4D"/>
    <w:rsid w:val="00012807"/>
    <w:rsid w:val="0008212C"/>
    <w:rsid w:val="001375F9"/>
    <w:rsid w:val="00234744"/>
    <w:rsid w:val="002467C6"/>
    <w:rsid w:val="002544CC"/>
    <w:rsid w:val="00295C2D"/>
    <w:rsid w:val="0036653E"/>
    <w:rsid w:val="003E2D29"/>
    <w:rsid w:val="0044093F"/>
    <w:rsid w:val="004C3F97"/>
    <w:rsid w:val="0055542D"/>
    <w:rsid w:val="00555CBB"/>
    <w:rsid w:val="00555E4D"/>
    <w:rsid w:val="005A764D"/>
    <w:rsid w:val="005B28F9"/>
    <w:rsid w:val="005D400B"/>
    <w:rsid w:val="0061579C"/>
    <w:rsid w:val="00682120"/>
    <w:rsid w:val="00705665"/>
    <w:rsid w:val="00760944"/>
    <w:rsid w:val="00786EDC"/>
    <w:rsid w:val="00862B10"/>
    <w:rsid w:val="00893DCD"/>
    <w:rsid w:val="008C52C4"/>
    <w:rsid w:val="00964BA0"/>
    <w:rsid w:val="009B132F"/>
    <w:rsid w:val="00B31EEA"/>
    <w:rsid w:val="00BA6211"/>
    <w:rsid w:val="00C04CB5"/>
    <w:rsid w:val="00CD32C3"/>
    <w:rsid w:val="00CD3893"/>
    <w:rsid w:val="00D34F29"/>
    <w:rsid w:val="00DE6AC6"/>
    <w:rsid w:val="00E00AD0"/>
    <w:rsid w:val="00E05E70"/>
    <w:rsid w:val="00E37558"/>
    <w:rsid w:val="00E74A8D"/>
    <w:rsid w:val="00EC33F4"/>
    <w:rsid w:val="00FC534A"/>
    <w:rsid w:val="00FD177F"/>
    <w:rsid w:val="00FD6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DEEDE1-FF9D-4A15-8BBF-C820CD12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6"/>
    </w:rPr>
  </w:style>
  <w:style w:type="paragraph" w:styleId="a4">
    <w:name w:val="Balloon Text"/>
    <w:basedOn w:val="a"/>
    <w:semiHidden/>
    <w:rPr>
      <w:rFonts w:ascii="Tahoma" w:hAnsi="Tahoma" w:cs="Tahoma"/>
      <w:sz w:val="16"/>
      <w:szCs w:val="16"/>
    </w:rPr>
  </w:style>
  <w:style w:type="paragraph" w:styleId="a5">
    <w:name w:val="header"/>
    <w:basedOn w:val="a"/>
    <w:link w:val="a6"/>
    <w:uiPriority w:val="99"/>
    <w:unhideWhenUsed/>
    <w:pPr>
      <w:tabs>
        <w:tab w:val="center" w:pos="4677"/>
        <w:tab w:val="right" w:pos="9355"/>
      </w:tabs>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pPr>
  </w:style>
  <w:style w:type="character" w:customStyle="1" w:styleId="a8">
    <w:name w:val="Нижний колонтитул Знак"/>
    <w:basedOn w:val="a0"/>
    <w:link w:val="a7"/>
    <w:uiPriority w:val="99"/>
  </w:style>
  <w:style w:type="character" w:styleId="a9">
    <w:name w:val="Hyperlink"/>
    <w:uiPriority w:val="99"/>
    <w:semiHidden/>
    <w:unhideWhenUsed/>
    <w:rPr>
      <w:color w:val="0000FF"/>
      <w:u w:val="single"/>
    </w:rPr>
  </w:style>
  <w:style w:type="paragraph" w:customStyle="1" w:styleId="2">
    <w:name w:val="Стиль_Шт2"/>
    <w:basedOn w:val="a3"/>
    <w:pPr>
      <w:tabs>
        <w:tab w:val="left" w:pos="5529"/>
      </w:tabs>
      <w:spacing w:before="120" w:after="120"/>
    </w:pPr>
    <w:rPr>
      <w:b/>
      <w:sz w:val="24"/>
    </w:rPr>
  </w:style>
  <w:style w:type="paragraph" w:customStyle="1" w:styleId="Web">
    <w:name w:val="Обычный (Web)"/>
    <w:basedOn w:val="a"/>
    <w:uiPriority w:val="99"/>
    <w:pPr>
      <w:suppressAutoHyphens/>
      <w:spacing w:before="280" w:after="280"/>
    </w:pPr>
    <w:rPr>
      <w:rFonts w:ascii="Arial Unicode MS" w:eastAsia="Arial Unicode MS" w:hAnsi="Arial Unicode MS" w:cs="Arial Unicode MS"/>
      <w:sz w:val="24"/>
      <w:szCs w:val="24"/>
      <w:lang w:eastAsia="ar-SA"/>
    </w:rPr>
  </w:style>
  <w:style w:type="paragraph" w:customStyle="1" w:styleId="aa">
    <w:name w:val="Базовый"/>
    <w:uiPriority w:val="99"/>
    <w:pPr>
      <w:tabs>
        <w:tab w:val="left" w:pos="706"/>
      </w:tabs>
      <w:suppressAutoHyphens/>
      <w:spacing w:line="200" w:lineRule="atLeast"/>
    </w:pPr>
    <w:rPr>
      <w:rFonts w:cs="Tahoma"/>
      <w:sz w:val="24"/>
      <w:szCs w:val="24"/>
      <w:lang w:eastAsia="zh-CN" w:bidi="hi-IN"/>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0"/>
    <w:link w:val="HTML"/>
    <w:uiPriority w:val="99"/>
    <w:rPr>
      <w:rFonts w:ascii="Courier New" w:eastAsia="Calibri" w:hAnsi="Courier New"/>
    </w:rPr>
  </w:style>
  <w:style w:type="table" w:customStyle="1" w:styleId="3">
    <w:name w:val="Сетка таблицы3"/>
    <w:basedOn w:val="a1"/>
    <w:next w:val="ab"/>
    <w:uiPriority w:val="3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3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Обычный (Web)1"/>
    <w:basedOn w:val="a"/>
    <w:link w:val="ad"/>
    <w:uiPriority w:val="99"/>
    <w:pPr>
      <w:spacing w:before="100" w:beforeAutospacing="1" w:after="100" w:afterAutospacing="1"/>
    </w:pPr>
    <w:rPr>
      <w:sz w:val="24"/>
      <w:szCs w:val="24"/>
    </w:rPr>
  </w:style>
  <w:style w:type="character" w:customStyle="1" w:styleId="ad">
    <w:name w:val="Обычный (веб) Знак"/>
    <w:aliases w:val="Обычный (Web)1 Знак"/>
    <w:link w:val="ac"/>
    <w:uiPriority w:val="99"/>
    <w:locked/>
    <w:rPr>
      <w:sz w:val="24"/>
      <w:szCs w:val="24"/>
    </w:rPr>
  </w:style>
  <w:style w:type="paragraph" w:customStyle="1" w:styleId="Normal1">
    <w:name w:val="Normal1"/>
    <w:pPr>
      <w:widowControl w:val="0"/>
      <w:spacing w:line="300" w:lineRule="auto"/>
      <w:ind w:left="720" w:hanging="360"/>
    </w:pPr>
    <w:rPr>
      <w:snapToGrid w:val="0"/>
      <w:sz w:val="22"/>
    </w:rPr>
  </w:style>
  <w:style w:type="paragraph" w:styleId="ae">
    <w:name w:val="List Paragraph"/>
    <w:aliases w:val="GOST_TableList,it_List1,Bullet List,FooterText,numbered,Нумерованый список,SL_Абзац списка,List Paragraph,Абзац списка литеральный,Paragraphe de liste1,lp1,ПС - Нумерованный,A_маркированный_список,ТЗ список,Dash,Table-Normal,Подпись рисунка"/>
    <w:basedOn w:val="a"/>
    <w:link w:val="af"/>
    <w:uiPriority w:val="34"/>
    <w:qFormat/>
    <w:pPr>
      <w:ind w:left="720"/>
      <w:contextualSpacing/>
    </w:pPr>
    <w:rPr>
      <w:sz w:val="24"/>
      <w:szCs w:val="24"/>
    </w:rPr>
  </w:style>
  <w:style w:type="character" w:customStyle="1" w:styleId="af">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ae"/>
    <w:uiPriority w:val="34"/>
    <w:qFormat/>
    <w:rPr>
      <w:sz w:val="24"/>
      <w:szCs w:val="24"/>
    </w:rPr>
  </w:style>
  <w:style w:type="paragraph" w:styleId="af0">
    <w:name w:val="No Spacing"/>
    <w:uiPriority w:val="1"/>
    <w:qFormat/>
  </w:style>
  <w:style w:type="numbering" w:customStyle="1" w:styleId="11">
    <w:name w:val="Нет списка1"/>
    <w:next w:val="a2"/>
    <w:uiPriority w:val="99"/>
    <w:semiHidden/>
    <w:unhideWhenUsed/>
  </w:style>
  <w:style w:type="character" w:customStyle="1" w:styleId="10">
    <w:name w:val="Заголовок 1 Знак"/>
    <w:link w:val="1"/>
    <w:uiPriority w:val="9"/>
    <w:rPr>
      <w:b/>
      <w:sz w:val="28"/>
    </w:rPr>
  </w:style>
  <w:style w:type="table" w:customStyle="1" w:styleId="TableGrid">
    <w:name w:val="TableGrid"/>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5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hyperlink" Target="http://base.garant.ru/711451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1145140/f7ee959fd36b5699076b35abf4f52c5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1145140/53f89421bbdaf741eb2d1ecc4ddb4c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542620598" TargetMode="External"/><Relationship Id="rId4" Type="http://schemas.openxmlformats.org/officeDocument/2006/relationships/settings" Target="settings.xml"/><Relationship Id="rId9" Type="http://schemas.openxmlformats.org/officeDocument/2006/relationships/hyperlink" Target="mailto:osp@ro78.fss.ru" TargetMode="External"/><Relationship Id="rId14" Type="http://schemas.openxmlformats.org/officeDocument/2006/relationships/hyperlink" Target="mailto:osp@ro78.f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B1899-DF1E-4C5A-8333-3BA97B59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3523</Words>
  <Characters>20083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23559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dc:creator>
  <cp:lastModifiedBy>Иванова Наталья Александровна</cp:lastModifiedBy>
  <cp:revision>4</cp:revision>
  <cp:lastPrinted>2023-05-11T11:11:00Z</cp:lastPrinted>
  <dcterms:created xsi:type="dcterms:W3CDTF">2024-09-23T08:01:00Z</dcterms:created>
  <dcterms:modified xsi:type="dcterms:W3CDTF">2024-09-26T10:51:00Z</dcterms:modified>
</cp:coreProperties>
</file>