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754259" w:rsidRPr="00754259">
        <w:rPr>
          <w:b/>
          <w:bCs/>
          <w:lang w:eastAsia="ru-RU"/>
        </w:rPr>
        <w:t xml:space="preserve">поставка </w:t>
      </w:r>
      <w:proofErr w:type="spellStart"/>
      <w:r w:rsidR="00754259" w:rsidRPr="00754259">
        <w:rPr>
          <w:b/>
          <w:bCs/>
        </w:rPr>
        <w:t>противопролежневых</w:t>
      </w:r>
      <w:proofErr w:type="spellEnd"/>
      <w:r w:rsidR="00754259" w:rsidRPr="00754259">
        <w:rPr>
          <w:b/>
          <w:bCs/>
        </w:rPr>
        <w:t xml:space="preserve"> матрацев и подушек</w:t>
      </w:r>
      <w:r w:rsidR="00754259">
        <w:rPr>
          <w:bCs/>
        </w:rPr>
        <w:t xml:space="preserve"> </w:t>
      </w:r>
    </w:p>
    <w:p w:rsidR="00BA1E56" w:rsidRPr="009A5A91" w:rsidRDefault="004133B3" w:rsidP="00DD08A9">
      <w:pPr>
        <w:keepNext/>
        <w:keepLines/>
        <w:autoSpaceDE w:val="0"/>
        <w:jc w:val="both"/>
        <w:rPr>
          <w:lang w:eastAsia="ru-RU"/>
        </w:rPr>
      </w:pPr>
      <w:r w:rsidRPr="004133B3">
        <w:rPr>
          <w:b/>
        </w:rPr>
        <w:t>ИКЗ</w:t>
      </w:r>
      <w:r w:rsidR="00FF5F8B">
        <w:rPr>
          <w:b/>
        </w:rPr>
        <w:t>:</w:t>
      </w:r>
      <w:r>
        <w:t xml:space="preserve"> </w:t>
      </w:r>
      <w:r w:rsidR="00754259" w:rsidRPr="00754259">
        <w:rPr>
          <w:b/>
          <w:color w:val="383838"/>
          <w:shd w:val="clear" w:color="auto" w:fill="FAFAFA"/>
        </w:rPr>
        <w:t>241710601545871060100102300012219323</w:t>
      </w:r>
    </w:p>
    <w:p w:rsidR="00583C19" w:rsidRPr="00203FF9" w:rsidRDefault="009A5A91" w:rsidP="00DD08A9">
      <w:pPr>
        <w:keepNext/>
        <w:keepLines/>
        <w:tabs>
          <w:tab w:val="left" w:pos="0"/>
        </w:tabs>
        <w:snapToGrid w:val="0"/>
        <w:jc w:val="both"/>
        <w:rPr>
          <w:b/>
        </w:rPr>
      </w:pPr>
      <w:r>
        <w:rPr>
          <w:b/>
        </w:rPr>
        <w:t xml:space="preserve">       </w:t>
      </w:r>
    </w:p>
    <w:tbl>
      <w:tblPr>
        <w:tblW w:w="10505" w:type="dxa"/>
        <w:tblInd w:w="93" w:type="dxa"/>
        <w:tblLayout w:type="fixed"/>
        <w:tblLook w:val="04A0" w:firstRow="1" w:lastRow="0" w:firstColumn="1" w:lastColumn="0" w:noHBand="0" w:noVBand="1"/>
      </w:tblPr>
      <w:tblGrid>
        <w:gridCol w:w="1433"/>
        <w:gridCol w:w="1559"/>
        <w:gridCol w:w="1701"/>
        <w:gridCol w:w="2868"/>
        <w:gridCol w:w="818"/>
        <w:gridCol w:w="2126"/>
      </w:tblGrid>
      <w:tr w:rsidR="00754259" w:rsidRPr="00836DC7" w:rsidTr="006D118D">
        <w:trPr>
          <w:trHeight w:val="459"/>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Наименование продукции</w:t>
            </w:r>
            <w:r>
              <w:rPr>
                <w:b/>
                <w:bCs/>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Наименование позиции по КТРУ/ОКПД</w:t>
            </w:r>
            <w:proofErr w:type="gramStart"/>
            <w:r w:rsidRPr="00836DC7">
              <w:rPr>
                <w:b/>
                <w:bCs/>
                <w:sz w:val="20"/>
                <w:szCs w:val="20"/>
                <w:lang w:eastAsia="ru-RU"/>
              </w:rPr>
              <w:t>2</w:t>
            </w:r>
            <w:proofErr w:type="gramEnd"/>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Характеристики и их значения</w:t>
            </w:r>
          </w:p>
        </w:tc>
      </w:tr>
      <w:tr w:rsidR="00754259" w:rsidRPr="00836DC7" w:rsidTr="006D118D">
        <w:trPr>
          <w:trHeight w:val="219"/>
        </w:trPr>
        <w:tc>
          <w:tcPr>
            <w:tcW w:w="1433" w:type="dxa"/>
            <w:tcBorders>
              <w:top w:val="single" w:sz="4" w:space="0" w:color="auto"/>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Количество</w:t>
            </w:r>
          </w:p>
        </w:tc>
        <w:tc>
          <w:tcPr>
            <w:tcW w:w="1559" w:type="dxa"/>
            <w:tcBorders>
              <w:top w:val="single" w:sz="4" w:space="0" w:color="auto"/>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Код КТРУ</w:t>
            </w:r>
            <w:r>
              <w:rPr>
                <w:b/>
                <w:bCs/>
                <w:sz w:val="20"/>
                <w:szCs w:val="20"/>
                <w:lang w:eastAsia="ru-RU"/>
              </w:rPr>
              <w:t>**</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Наименование</w:t>
            </w:r>
          </w:p>
        </w:tc>
        <w:tc>
          <w:tcPr>
            <w:tcW w:w="28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Значение</w:t>
            </w:r>
          </w:p>
        </w:tc>
        <w:tc>
          <w:tcPr>
            <w:tcW w:w="8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Единица измерения</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54259" w:rsidRPr="00836DC7" w:rsidRDefault="00754259" w:rsidP="006D118D">
            <w:pPr>
              <w:suppressAutoHyphens w:val="0"/>
              <w:jc w:val="center"/>
              <w:rPr>
                <w:b/>
                <w:bCs/>
                <w:sz w:val="20"/>
                <w:szCs w:val="20"/>
                <w:lang w:eastAsia="ru-RU"/>
              </w:rPr>
            </w:pPr>
            <w:r w:rsidRPr="009C0946">
              <w:rPr>
                <w:b/>
                <w:bCs/>
                <w:sz w:val="20"/>
                <w:szCs w:val="20"/>
                <w:lang w:eastAsia="ru-RU"/>
              </w:rPr>
              <w:t>Заполнение</w:t>
            </w:r>
          </w:p>
        </w:tc>
      </w:tr>
      <w:tr w:rsidR="00754259" w:rsidRPr="00836DC7" w:rsidTr="006D118D">
        <w:trPr>
          <w:trHeight w:val="219"/>
        </w:trPr>
        <w:tc>
          <w:tcPr>
            <w:tcW w:w="1433" w:type="dxa"/>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Единица измерения</w:t>
            </w:r>
          </w:p>
        </w:tc>
        <w:tc>
          <w:tcPr>
            <w:tcW w:w="1559" w:type="dxa"/>
            <w:tcBorders>
              <w:top w:val="nil"/>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b/>
                <w:bCs/>
                <w:sz w:val="20"/>
                <w:szCs w:val="20"/>
                <w:lang w:eastAsia="ru-RU"/>
              </w:rPr>
            </w:pPr>
            <w:r w:rsidRPr="00836DC7">
              <w:rPr>
                <w:b/>
                <w:bCs/>
                <w:sz w:val="20"/>
                <w:szCs w:val="20"/>
                <w:lang w:eastAsia="ru-RU"/>
              </w:rPr>
              <w:t>Код ОКПД</w:t>
            </w:r>
            <w:proofErr w:type="gramStart"/>
            <w:r w:rsidRPr="00836DC7">
              <w:rPr>
                <w:b/>
                <w:bCs/>
                <w:sz w:val="20"/>
                <w:szCs w:val="20"/>
                <w:lang w:eastAsia="ru-RU"/>
              </w:rPr>
              <w:t>2</w:t>
            </w:r>
            <w:proofErr w:type="gramEnd"/>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b/>
                <w:bCs/>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b/>
                <w:bCs/>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b/>
                <w:bCs/>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b/>
                <w:bCs/>
                <w:sz w:val="20"/>
                <w:szCs w:val="20"/>
                <w:lang w:eastAsia="ru-RU"/>
              </w:rPr>
            </w:pPr>
          </w:p>
        </w:tc>
      </w:tr>
      <w:tr w:rsidR="00754259" w:rsidRPr="00836DC7" w:rsidTr="006D118D">
        <w:trPr>
          <w:trHeight w:val="1479"/>
        </w:trPr>
        <w:tc>
          <w:tcPr>
            <w:tcW w:w="1433" w:type="dxa"/>
            <w:tcBorders>
              <w:top w:val="nil"/>
              <w:left w:val="single" w:sz="4" w:space="0" w:color="000000"/>
              <w:bottom w:val="single" w:sz="4" w:space="0" w:color="000000"/>
              <w:right w:val="single" w:sz="4" w:space="0" w:color="000000"/>
            </w:tcBorders>
            <w:shd w:val="clear" w:color="auto" w:fill="auto"/>
            <w:hideMark/>
          </w:tcPr>
          <w:p w:rsidR="00754259" w:rsidRDefault="00754259" w:rsidP="006D118D">
            <w:pPr>
              <w:suppressAutoHyphens w:val="0"/>
              <w:jc w:val="center"/>
              <w:rPr>
                <w:sz w:val="20"/>
                <w:szCs w:val="20"/>
                <w:lang w:eastAsia="ru-RU"/>
              </w:rPr>
            </w:pPr>
            <w:proofErr w:type="spellStart"/>
            <w:r w:rsidRPr="00A45007">
              <w:rPr>
                <w:sz w:val="20"/>
                <w:szCs w:val="20"/>
              </w:rPr>
              <w:t>Противопролежневый</w:t>
            </w:r>
            <w:proofErr w:type="spellEnd"/>
            <w:r w:rsidRPr="00A45007">
              <w:rPr>
                <w:sz w:val="20"/>
                <w:szCs w:val="20"/>
              </w:rPr>
              <w:t xml:space="preserve"> матрац полиуретановый</w:t>
            </w:r>
            <w:r w:rsidRPr="00836DC7">
              <w:rPr>
                <w:sz w:val="20"/>
                <w:szCs w:val="20"/>
                <w:lang w:eastAsia="ru-RU"/>
              </w:rPr>
              <w:t> </w:t>
            </w:r>
          </w:p>
          <w:p w:rsidR="00754259" w:rsidRPr="00836DC7" w:rsidRDefault="00754259" w:rsidP="006D118D">
            <w:pPr>
              <w:suppressAutoHyphens w:val="0"/>
              <w:jc w:val="center"/>
              <w:rPr>
                <w:sz w:val="20"/>
                <w:szCs w:val="20"/>
                <w:lang w:eastAsia="ru-RU"/>
              </w:rPr>
            </w:pPr>
            <w:r>
              <w:rPr>
                <w:sz w:val="20"/>
                <w:szCs w:val="20"/>
                <w:lang w:eastAsia="ru-RU"/>
              </w:rPr>
              <w:t>10-01-01</w:t>
            </w:r>
          </w:p>
        </w:tc>
        <w:tc>
          <w:tcPr>
            <w:tcW w:w="1559" w:type="dxa"/>
            <w:tcBorders>
              <w:top w:val="nil"/>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 xml:space="preserve"> Матрас </w:t>
            </w:r>
            <w:proofErr w:type="spellStart"/>
            <w:r w:rsidRPr="00836DC7">
              <w:rPr>
                <w:sz w:val="20"/>
                <w:szCs w:val="20"/>
                <w:lang w:eastAsia="ru-RU"/>
              </w:rPr>
              <w:t>противопролежневый</w:t>
            </w:r>
            <w:proofErr w:type="spellEnd"/>
            <w:r w:rsidRPr="00836DC7">
              <w:rPr>
                <w:sz w:val="20"/>
                <w:szCs w:val="20"/>
                <w:lang w:eastAsia="ru-RU"/>
              </w:rPr>
              <w:t xml:space="preserve"> с наполнителем из </w:t>
            </w:r>
            <w:proofErr w:type="spellStart"/>
            <w:r w:rsidRPr="00836DC7">
              <w:rPr>
                <w:sz w:val="20"/>
                <w:szCs w:val="20"/>
                <w:lang w:eastAsia="ru-RU"/>
              </w:rPr>
              <w:t>пеноматериала</w:t>
            </w:r>
            <w:proofErr w:type="spellEnd"/>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Функциональные характеристики</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proofErr w:type="spellStart"/>
            <w:r w:rsidRPr="00836DC7">
              <w:rPr>
                <w:sz w:val="20"/>
                <w:szCs w:val="20"/>
                <w:lang w:eastAsia="ru-RU"/>
              </w:rPr>
              <w:t>Противопролежневые</w:t>
            </w:r>
            <w:proofErr w:type="spellEnd"/>
            <w:r w:rsidRPr="00836DC7">
              <w:rPr>
                <w:sz w:val="20"/>
                <w:szCs w:val="20"/>
                <w:lang w:eastAsia="ru-RU"/>
              </w:rPr>
              <w:t xml:space="preserve"> матрацы предназначены для </w:t>
            </w:r>
            <w:proofErr w:type="spellStart"/>
            <w:proofErr w:type="gramStart"/>
            <w:r w:rsidRPr="00836DC7">
              <w:rPr>
                <w:sz w:val="20"/>
                <w:szCs w:val="20"/>
                <w:lang w:eastAsia="ru-RU"/>
              </w:rPr>
              <w:t>восста-новления</w:t>
            </w:r>
            <w:proofErr w:type="spellEnd"/>
            <w:proofErr w:type="gramEnd"/>
            <w:r w:rsidRPr="00836DC7">
              <w:rPr>
                <w:sz w:val="20"/>
                <w:szCs w:val="20"/>
                <w:lang w:eastAsia="ru-RU"/>
              </w:rPr>
              <w:t xml:space="preserve"> кровообращения у лежащего человека, насыщения кислородом покрова кожи и заживления пораженных тканей. </w:t>
            </w:r>
            <w:r w:rsidRPr="00836DC7">
              <w:rPr>
                <w:sz w:val="20"/>
                <w:szCs w:val="20"/>
                <w:lang w:eastAsia="ru-RU"/>
              </w:rPr>
              <w:br/>
            </w:r>
            <w:proofErr w:type="spellStart"/>
            <w:r w:rsidRPr="00836DC7">
              <w:rPr>
                <w:sz w:val="20"/>
                <w:szCs w:val="20"/>
                <w:lang w:eastAsia="ru-RU"/>
              </w:rPr>
              <w:t>Противопролежневый</w:t>
            </w:r>
            <w:proofErr w:type="spellEnd"/>
            <w:r w:rsidRPr="00836DC7">
              <w:rPr>
                <w:sz w:val="20"/>
                <w:szCs w:val="20"/>
                <w:lang w:eastAsia="ru-RU"/>
              </w:rPr>
              <w:t xml:space="preserve"> эффект достигается благодаря </w:t>
            </w:r>
            <w:proofErr w:type="gramStart"/>
            <w:r w:rsidRPr="00836DC7">
              <w:rPr>
                <w:sz w:val="20"/>
                <w:szCs w:val="20"/>
                <w:lang w:eastAsia="ru-RU"/>
              </w:rPr>
              <w:t>специальному</w:t>
            </w:r>
            <w:proofErr w:type="gramEnd"/>
            <w:r w:rsidRPr="00836DC7">
              <w:rPr>
                <w:sz w:val="20"/>
                <w:szCs w:val="20"/>
                <w:lang w:eastAsia="ru-RU"/>
              </w:rPr>
              <w:t xml:space="preserve"> вязко-эластичному </w:t>
            </w:r>
            <w:proofErr w:type="spellStart"/>
            <w:r w:rsidRPr="00836DC7">
              <w:rPr>
                <w:sz w:val="20"/>
                <w:szCs w:val="20"/>
                <w:lang w:eastAsia="ru-RU"/>
              </w:rPr>
              <w:t>пенополиуретану</w:t>
            </w:r>
            <w:proofErr w:type="spellEnd"/>
            <w:r w:rsidRPr="00836DC7">
              <w:rPr>
                <w:sz w:val="20"/>
                <w:szCs w:val="20"/>
                <w:lang w:eastAsia="ru-RU"/>
              </w:rPr>
              <w:t xml:space="preserve">, из которого изготовлены матрацы. </w:t>
            </w:r>
            <w:r w:rsidRPr="00836DC7">
              <w:rPr>
                <w:sz w:val="20"/>
                <w:szCs w:val="20"/>
                <w:lang w:eastAsia="ru-RU"/>
              </w:rPr>
              <w:br/>
              <w:t>Габаритные размеры матрацев соответствуют размерам кроватей.</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456"/>
        </w:trPr>
        <w:tc>
          <w:tcPr>
            <w:tcW w:w="1433" w:type="dxa"/>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1</w:t>
            </w:r>
          </w:p>
        </w:tc>
        <w:tc>
          <w:tcPr>
            <w:tcW w:w="1559" w:type="dxa"/>
            <w:tcBorders>
              <w:top w:val="nil"/>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22.19.71.190-00000006</w:t>
            </w: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1479"/>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proofErr w:type="spellStart"/>
            <w:proofErr w:type="gramStart"/>
            <w:r w:rsidRPr="00836DC7">
              <w:rPr>
                <w:sz w:val="20"/>
                <w:szCs w:val="20"/>
                <w:lang w:eastAsia="ru-RU"/>
              </w:rPr>
              <w:t>шт</w:t>
            </w:r>
            <w:proofErr w:type="spellEnd"/>
            <w:proofErr w:type="gramEnd"/>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22.19.71.190</w:t>
            </w: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Длина изделия</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1 950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Ширина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850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Высота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80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 комплект поставляемого товара входит</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быстросъемный наружный чехол на тканевой основе,</w:t>
            </w:r>
            <w:r w:rsidRPr="00836DC7">
              <w:rPr>
                <w:sz w:val="20"/>
                <w:szCs w:val="20"/>
                <w:lang w:eastAsia="ru-RU"/>
              </w:rPr>
              <w:br/>
              <w:t>- паспорт с гарантийным талоном на сервисное обслуживание.</w:t>
            </w:r>
          </w:p>
        </w:tc>
        <w:tc>
          <w:tcPr>
            <w:tcW w:w="818" w:type="dxa"/>
            <w:vMerge w:val="restart"/>
            <w:tcBorders>
              <w:top w:val="nil"/>
              <w:left w:val="single" w:sz="4" w:space="0" w:color="000000"/>
              <w:bottom w:val="single" w:sz="4" w:space="0" w:color="000000"/>
              <w:right w:val="single" w:sz="4" w:space="0" w:color="000000"/>
            </w:tcBorders>
            <w:shd w:val="clear" w:color="auto" w:fill="auto"/>
          </w:tcPr>
          <w:p w:rsidR="00754259" w:rsidRPr="00836DC7" w:rsidRDefault="00754259" w:rsidP="006D118D">
            <w:pPr>
              <w:suppressAutoHyphens w:val="0"/>
              <w:rPr>
                <w:sz w:val="20"/>
                <w:szCs w:val="20"/>
                <w:lang w:eastAsia="ru-RU"/>
              </w:rPr>
            </w:pPr>
          </w:p>
        </w:tc>
        <w:tc>
          <w:tcPr>
            <w:tcW w:w="2126" w:type="dxa"/>
            <w:vMerge w:val="restart"/>
            <w:tcBorders>
              <w:top w:val="nil"/>
              <w:left w:val="single" w:sz="4" w:space="0" w:color="000000"/>
              <w:bottom w:val="single" w:sz="4" w:space="0" w:color="000000"/>
              <w:right w:val="single" w:sz="4" w:space="0" w:color="000000"/>
            </w:tcBorders>
            <w:shd w:val="clear" w:color="auto" w:fill="auto"/>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auto"/>
              <w:right w:val="single" w:sz="4" w:space="0" w:color="000000"/>
            </w:tcBorders>
            <w:vAlign w:val="center"/>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auto"/>
              <w:right w:val="single" w:sz="4" w:space="0" w:color="000000"/>
            </w:tcBorders>
            <w:vAlign w:val="center"/>
          </w:tcPr>
          <w:p w:rsidR="00754259" w:rsidRPr="00836DC7" w:rsidRDefault="00754259" w:rsidP="006D118D">
            <w:pPr>
              <w:suppressAutoHyphens w:val="0"/>
              <w:rPr>
                <w:sz w:val="20"/>
                <w:szCs w:val="20"/>
                <w:lang w:eastAsia="ru-RU"/>
              </w:rPr>
            </w:pPr>
          </w:p>
        </w:tc>
      </w:tr>
      <w:tr w:rsidR="00754259" w:rsidRPr="00836DC7" w:rsidTr="006D118D">
        <w:trPr>
          <w:trHeight w:val="1171"/>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754259" w:rsidRDefault="00754259" w:rsidP="006D118D">
            <w:pPr>
              <w:suppressAutoHyphens w:val="0"/>
              <w:jc w:val="center"/>
              <w:rPr>
                <w:sz w:val="20"/>
                <w:szCs w:val="20"/>
                <w:lang w:eastAsia="ru-RU"/>
              </w:rPr>
            </w:pPr>
            <w:r w:rsidRPr="00836DC7">
              <w:rPr>
                <w:sz w:val="20"/>
                <w:szCs w:val="20"/>
                <w:lang w:eastAsia="ru-RU"/>
              </w:rPr>
              <w:t> </w:t>
            </w:r>
            <w:proofErr w:type="spellStart"/>
            <w:r>
              <w:rPr>
                <w:sz w:val="20"/>
                <w:szCs w:val="20"/>
                <w:lang w:eastAsia="ru-RU"/>
              </w:rPr>
              <w:t>Противопролежневый</w:t>
            </w:r>
            <w:proofErr w:type="spellEnd"/>
            <w:r>
              <w:rPr>
                <w:sz w:val="20"/>
                <w:szCs w:val="20"/>
                <w:lang w:eastAsia="ru-RU"/>
              </w:rPr>
              <w:t xml:space="preserve"> матрац </w:t>
            </w:r>
            <w:proofErr w:type="spellStart"/>
            <w:r>
              <w:rPr>
                <w:sz w:val="20"/>
                <w:szCs w:val="20"/>
                <w:lang w:eastAsia="ru-RU"/>
              </w:rPr>
              <w:t>гелевый</w:t>
            </w:r>
            <w:proofErr w:type="spellEnd"/>
          </w:p>
          <w:p w:rsidR="00754259" w:rsidRPr="00836DC7" w:rsidRDefault="00754259" w:rsidP="006D118D">
            <w:pPr>
              <w:suppressAutoHyphens w:val="0"/>
              <w:jc w:val="center"/>
              <w:rPr>
                <w:sz w:val="20"/>
                <w:szCs w:val="20"/>
                <w:lang w:eastAsia="ru-RU"/>
              </w:rPr>
            </w:pPr>
            <w:r>
              <w:rPr>
                <w:sz w:val="20"/>
                <w:szCs w:val="20"/>
                <w:lang w:eastAsia="ru-RU"/>
              </w:rPr>
              <w:t>10-01-02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 xml:space="preserve"> Матрас </w:t>
            </w:r>
            <w:proofErr w:type="spellStart"/>
            <w:r w:rsidRPr="00836DC7">
              <w:rPr>
                <w:sz w:val="20"/>
                <w:szCs w:val="20"/>
                <w:lang w:eastAsia="ru-RU"/>
              </w:rPr>
              <w:t>противопролежневый</w:t>
            </w:r>
            <w:proofErr w:type="spellEnd"/>
            <w:r w:rsidRPr="00836DC7">
              <w:rPr>
                <w:sz w:val="20"/>
                <w:szCs w:val="20"/>
                <w:lang w:eastAsia="ru-RU"/>
              </w:rPr>
              <w:t xml:space="preserve"> с </w:t>
            </w:r>
            <w:proofErr w:type="spellStart"/>
            <w:r w:rsidRPr="00836DC7">
              <w:rPr>
                <w:sz w:val="20"/>
                <w:szCs w:val="20"/>
                <w:lang w:eastAsia="ru-RU"/>
              </w:rPr>
              <w:t>гелевым</w:t>
            </w:r>
            <w:proofErr w:type="spellEnd"/>
            <w:r w:rsidRPr="00836DC7">
              <w:rPr>
                <w:sz w:val="20"/>
                <w:szCs w:val="20"/>
                <w:lang w:eastAsia="ru-RU"/>
              </w:rPr>
              <w:t xml:space="preserve"> наполнителем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Функциональные характеристики</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proofErr w:type="spellStart"/>
            <w:r w:rsidRPr="00836DC7">
              <w:rPr>
                <w:sz w:val="20"/>
                <w:szCs w:val="20"/>
                <w:lang w:eastAsia="ru-RU"/>
              </w:rPr>
              <w:t>Противопролежневые</w:t>
            </w:r>
            <w:proofErr w:type="spellEnd"/>
            <w:r w:rsidRPr="00836DC7">
              <w:rPr>
                <w:sz w:val="20"/>
                <w:szCs w:val="20"/>
                <w:lang w:eastAsia="ru-RU"/>
              </w:rPr>
              <w:t xml:space="preserve"> матрацы предназначены для </w:t>
            </w:r>
            <w:proofErr w:type="spellStart"/>
            <w:proofErr w:type="gramStart"/>
            <w:r w:rsidRPr="00836DC7">
              <w:rPr>
                <w:sz w:val="20"/>
                <w:szCs w:val="20"/>
                <w:lang w:eastAsia="ru-RU"/>
              </w:rPr>
              <w:t>восста-новления</w:t>
            </w:r>
            <w:proofErr w:type="spellEnd"/>
            <w:proofErr w:type="gramEnd"/>
            <w:r w:rsidRPr="00836DC7">
              <w:rPr>
                <w:sz w:val="20"/>
                <w:szCs w:val="20"/>
                <w:lang w:eastAsia="ru-RU"/>
              </w:rPr>
              <w:t xml:space="preserve"> кровообращения у лежащего человека, насыщения кислородом покрова кожи и заживления пораженных </w:t>
            </w:r>
            <w:r w:rsidRPr="00836DC7">
              <w:rPr>
                <w:sz w:val="20"/>
                <w:szCs w:val="20"/>
                <w:lang w:eastAsia="ru-RU"/>
              </w:rPr>
              <w:lastRenderedPageBreak/>
              <w:t xml:space="preserve">тканей. </w:t>
            </w:r>
            <w:r w:rsidRPr="00836DC7">
              <w:rPr>
                <w:sz w:val="20"/>
                <w:szCs w:val="20"/>
                <w:lang w:eastAsia="ru-RU"/>
              </w:rPr>
              <w:br/>
            </w:r>
            <w:proofErr w:type="spellStart"/>
            <w:r w:rsidRPr="00836DC7">
              <w:rPr>
                <w:sz w:val="20"/>
                <w:szCs w:val="20"/>
                <w:lang w:eastAsia="ru-RU"/>
              </w:rPr>
              <w:t>Противопролежневый</w:t>
            </w:r>
            <w:proofErr w:type="spellEnd"/>
            <w:r w:rsidRPr="00836DC7">
              <w:rPr>
                <w:sz w:val="20"/>
                <w:szCs w:val="20"/>
                <w:lang w:eastAsia="ru-RU"/>
              </w:rPr>
              <w:t xml:space="preserve"> эффект достигается за счет равномерного распределения давления на участки соприкасающегося тела на упруго перетекающие </w:t>
            </w:r>
            <w:proofErr w:type="spellStart"/>
            <w:r w:rsidRPr="00836DC7">
              <w:rPr>
                <w:sz w:val="20"/>
                <w:szCs w:val="20"/>
                <w:lang w:eastAsia="ru-RU"/>
              </w:rPr>
              <w:t>гелевые</w:t>
            </w:r>
            <w:proofErr w:type="spellEnd"/>
            <w:r w:rsidRPr="00836DC7">
              <w:rPr>
                <w:sz w:val="20"/>
                <w:szCs w:val="20"/>
                <w:lang w:eastAsia="ru-RU"/>
              </w:rPr>
              <w:t xml:space="preserve"> элементы, находящиеся внутри изделия, которое изготовлено с применением натурального латекса. Материал упруго-перетекающих элементов регулирует температуру в зависимости от времени года, и тем самым создавать комфортные условия для кожи пользователей. </w:t>
            </w:r>
            <w:r w:rsidRPr="00836DC7">
              <w:rPr>
                <w:sz w:val="20"/>
                <w:szCs w:val="20"/>
                <w:lang w:eastAsia="ru-RU"/>
              </w:rPr>
              <w:br/>
              <w:t>Габаритные размеры матрацев соответствуют размерам кроватей.</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lastRenderedPageBreak/>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564"/>
        </w:trPr>
        <w:tc>
          <w:tcPr>
            <w:tcW w:w="1433" w:type="dxa"/>
            <w:tcBorders>
              <w:top w:val="single" w:sz="4" w:space="0" w:color="auto"/>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1</w:t>
            </w:r>
          </w:p>
        </w:tc>
        <w:tc>
          <w:tcPr>
            <w:tcW w:w="1559" w:type="dxa"/>
            <w:tcBorders>
              <w:top w:val="single" w:sz="4" w:space="0" w:color="auto"/>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22.19.71.190-00000005</w:t>
            </w: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679"/>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proofErr w:type="spellStart"/>
            <w:proofErr w:type="gramStart"/>
            <w:r w:rsidRPr="00836DC7">
              <w:rPr>
                <w:sz w:val="20"/>
                <w:szCs w:val="20"/>
                <w:lang w:eastAsia="ru-RU"/>
              </w:rPr>
              <w:lastRenderedPageBreak/>
              <w:t>шт</w:t>
            </w:r>
            <w:proofErr w:type="spellEnd"/>
            <w:proofErr w:type="gramEnd"/>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22.19.71.190</w:t>
            </w: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Длина изделия</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1 950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Ширина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850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Высота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80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 комплект поставляемого товара входит</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быстросъемный наружный чехол на тканевой основе,</w:t>
            </w:r>
            <w:r w:rsidRPr="00836DC7">
              <w:rPr>
                <w:sz w:val="20"/>
                <w:szCs w:val="20"/>
                <w:lang w:eastAsia="ru-RU"/>
              </w:rPr>
              <w:br/>
              <w:t>- паспорт с гарантийным талоном на сервисное обслуживание.</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auto"/>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1167"/>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754259" w:rsidRDefault="00754259" w:rsidP="006D118D">
            <w:pPr>
              <w:suppressAutoHyphens w:val="0"/>
              <w:jc w:val="center"/>
              <w:rPr>
                <w:sz w:val="20"/>
                <w:szCs w:val="20"/>
                <w:lang w:eastAsia="ru-RU"/>
              </w:rPr>
            </w:pPr>
            <w:r w:rsidRPr="00836DC7">
              <w:rPr>
                <w:sz w:val="20"/>
                <w:szCs w:val="20"/>
                <w:lang w:eastAsia="ru-RU"/>
              </w:rPr>
              <w:t> </w:t>
            </w:r>
            <w:proofErr w:type="spellStart"/>
            <w:r>
              <w:rPr>
                <w:sz w:val="20"/>
                <w:szCs w:val="20"/>
                <w:lang w:eastAsia="ru-RU"/>
              </w:rPr>
              <w:t>Противопролежневая</w:t>
            </w:r>
            <w:proofErr w:type="spellEnd"/>
            <w:r>
              <w:rPr>
                <w:sz w:val="20"/>
                <w:szCs w:val="20"/>
                <w:lang w:eastAsia="ru-RU"/>
              </w:rPr>
              <w:t xml:space="preserve"> подушка полиуретановая</w:t>
            </w:r>
          </w:p>
          <w:p w:rsidR="00754259" w:rsidRPr="00836DC7" w:rsidRDefault="00754259" w:rsidP="006D118D">
            <w:pPr>
              <w:suppressAutoHyphens w:val="0"/>
              <w:jc w:val="center"/>
              <w:rPr>
                <w:sz w:val="20"/>
                <w:szCs w:val="20"/>
                <w:lang w:eastAsia="ru-RU"/>
              </w:rPr>
            </w:pPr>
            <w:r>
              <w:rPr>
                <w:sz w:val="20"/>
                <w:szCs w:val="20"/>
                <w:lang w:eastAsia="ru-RU"/>
              </w:rPr>
              <w:t>10-02-01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 xml:space="preserve"> Подушка для сиденья с наполнителем из </w:t>
            </w:r>
            <w:proofErr w:type="spellStart"/>
            <w:r w:rsidRPr="00836DC7">
              <w:rPr>
                <w:sz w:val="20"/>
                <w:szCs w:val="20"/>
                <w:lang w:eastAsia="ru-RU"/>
              </w:rPr>
              <w:t>пеноматериала</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Функциональные характеристики</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proofErr w:type="spellStart"/>
            <w:r w:rsidRPr="00836DC7">
              <w:rPr>
                <w:sz w:val="20"/>
                <w:szCs w:val="20"/>
                <w:lang w:eastAsia="ru-RU"/>
              </w:rPr>
              <w:t>Противопролежневые</w:t>
            </w:r>
            <w:proofErr w:type="spellEnd"/>
            <w:r w:rsidRPr="00836DC7">
              <w:rPr>
                <w:sz w:val="20"/>
                <w:szCs w:val="20"/>
                <w:lang w:eastAsia="ru-RU"/>
              </w:rPr>
              <w:t xml:space="preserve"> подушки снимают давление с проблемных зон, равномерно распределяя нагрузку по всей поверхности подушки. </w:t>
            </w:r>
            <w:r w:rsidRPr="00836DC7">
              <w:rPr>
                <w:sz w:val="20"/>
                <w:szCs w:val="20"/>
                <w:lang w:eastAsia="ru-RU"/>
              </w:rPr>
              <w:br/>
              <w:t>Полиуретановые подушки обеспечивают смягчение поверхности сидения и снимают давление с проблемных зон.</w:t>
            </w:r>
            <w:r w:rsidRPr="00836DC7">
              <w:rPr>
                <w:sz w:val="20"/>
                <w:szCs w:val="20"/>
                <w:lang w:eastAsia="ru-RU"/>
              </w:rPr>
              <w:br/>
            </w:r>
            <w:proofErr w:type="spellStart"/>
            <w:r w:rsidRPr="00836DC7">
              <w:rPr>
                <w:sz w:val="20"/>
                <w:szCs w:val="20"/>
                <w:lang w:eastAsia="ru-RU"/>
              </w:rPr>
              <w:t>Противопролежневые</w:t>
            </w:r>
            <w:proofErr w:type="spellEnd"/>
            <w:r w:rsidRPr="00836DC7">
              <w:rPr>
                <w:sz w:val="20"/>
                <w:szCs w:val="20"/>
                <w:lang w:eastAsia="ru-RU"/>
              </w:rPr>
              <w:t xml:space="preserve"> подушки изготовлены из вязко-</w:t>
            </w:r>
            <w:proofErr w:type="spellStart"/>
            <w:r w:rsidRPr="00836DC7">
              <w:rPr>
                <w:sz w:val="20"/>
                <w:szCs w:val="20"/>
                <w:lang w:eastAsia="ru-RU"/>
              </w:rPr>
              <w:t>эластичноого</w:t>
            </w:r>
            <w:proofErr w:type="spellEnd"/>
            <w:r w:rsidRPr="00836DC7">
              <w:rPr>
                <w:sz w:val="20"/>
                <w:szCs w:val="20"/>
                <w:lang w:eastAsia="ru-RU"/>
              </w:rPr>
              <w:t xml:space="preserve"> </w:t>
            </w:r>
            <w:proofErr w:type="spellStart"/>
            <w:r w:rsidRPr="00836DC7">
              <w:rPr>
                <w:sz w:val="20"/>
                <w:szCs w:val="20"/>
                <w:lang w:eastAsia="ru-RU"/>
              </w:rPr>
              <w:t>пенополиуретана</w:t>
            </w:r>
            <w:proofErr w:type="spellEnd"/>
            <w:r w:rsidRPr="00836DC7">
              <w:rPr>
                <w:sz w:val="20"/>
                <w:szCs w:val="20"/>
                <w:lang w:eastAsia="ru-RU"/>
              </w:rPr>
              <w:t xml:space="preserve"> с памятью формы. </w:t>
            </w:r>
            <w:r w:rsidRPr="00836DC7">
              <w:rPr>
                <w:sz w:val="20"/>
                <w:szCs w:val="20"/>
                <w:lang w:eastAsia="ru-RU"/>
              </w:rPr>
              <w:br/>
              <w:t>Габаритные размеры подушек соответствовать размерам сиденья.</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418"/>
        </w:trPr>
        <w:tc>
          <w:tcPr>
            <w:tcW w:w="1433" w:type="dxa"/>
            <w:tcBorders>
              <w:top w:val="single" w:sz="4" w:space="0" w:color="auto"/>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1</w:t>
            </w:r>
          </w:p>
        </w:tc>
        <w:tc>
          <w:tcPr>
            <w:tcW w:w="1559" w:type="dxa"/>
            <w:tcBorders>
              <w:top w:val="single" w:sz="4" w:space="0" w:color="auto"/>
              <w:left w:val="nil"/>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bookmarkStart w:id="0" w:name="_GoBack"/>
            <w:bookmarkEnd w:id="0"/>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single" w:sz="4" w:space="0" w:color="auto"/>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156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proofErr w:type="spellStart"/>
            <w:proofErr w:type="gramStart"/>
            <w:r w:rsidRPr="00836DC7">
              <w:rPr>
                <w:sz w:val="20"/>
                <w:szCs w:val="20"/>
                <w:lang w:eastAsia="ru-RU"/>
              </w:rPr>
              <w:t>шт</w:t>
            </w:r>
            <w:proofErr w:type="spellEnd"/>
            <w:proofErr w:type="gramEnd"/>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22.19.71.190</w:t>
            </w: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Длина изделия</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400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836DC7">
              <w:rPr>
                <w:sz w:val="20"/>
                <w:szCs w:val="20"/>
                <w:lang w:eastAsia="ru-RU"/>
              </w:rPr>
              <w:t> </w:t>
            </w:r>
            <w:r w:rsidRPr="009C0946">
              <w:rPr>
                <w:sz w:val="20"/>
                <w:szCs w:val="20"/>
                <w:lang w:eastAsia="ru-RU"/>
              </w:rPr>
              <w:t>Участник закупки указывает в заявке конкретное значение характеристики</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Ширина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400</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Участник закупки указывает в заявке 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Высота</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xml:space="preserve"> ≥ 45</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мм</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 xml:space="preserve">Участник закупки указывает в заявке </w:t>
            </w:r>
            <w:r w:rsidRPr="009C0946">
              <w:rPr>
                <w:sz w:val="20"/>
                <w:szCs w:val="20"/>
                <w:lang w:eastAsia="ru-RU"/>
              </w:rPr>
              <w:lastRenderedPageBreak/>
              <w:t>конкретное значение характеристики</w:t>
            </w:r>
            <w:r w:rsidRPr="00836DC7">
              <w:rPr>
                <w:sz w:val="20"/>
                <w:szCs w:val="20"/>
                <w:lang w:eastAsia="ru-RU"/>
              </w:rPr>
              <w:t> </w:t>
            </w: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230"/>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В комплект поставляемого товара входит</w:t>
            </w:r>
          </w:p>
        </w:tc>
        <w:tc>
          <w:tcPr>
            <w:tcW w:w="286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быстросъемный наружный чехол на тканевой основе,</w:t>
            </w:r>
            <w:r w:rsidRPr="00836DC7">
              <w:rPr>
                <w:sz w:val="20"/>
                <w:szCs w:val="20"/>
                <w:lang w:eastAsia="ru-RU"/>
              </w:rPr>
              <w:br/>
              <w:t>- паспорт с гарантийным талоном на сервисное обслуживание.</w:t>
            </w:r>
          </w:p>
        </w:tc>
        <w:tc>
          <w:tcPr>
            <w:tcW w:w="818"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rPr>
                <w:sz w:val="20"/>
                <w:szCs w:val="20"/>
                <w:lang w:eastAsia="ru-RU"/>
              </w:rPr>
            </w:pPr>
            <w:r w:rsidRPr="00836DC7">
              <w:rPr>
                <w:sz w:val="20"/>
                <w:szCs w:val="20"/>
                <w:lang w:eastAsia="ru-RU"/>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754259" w:rsidRPr="00836DC7" w:rsidRDefault="00754259" w:rsidP="006D118D">
            <w:pPr>
              <w:suppressAutoHyphens w:val="0"/>
              <w:jc w:val="center"/>
              <w:rPr>
                <w:sz w:val="20"/>
                <w:szCs w:val="20"/>
                <w:lang w:eastAsia="ru-RU"/>
              </w:rPr>
            </w:pPr>
            <w:r w:rsidRPr="009C0946">
              <w:rPr>
                <w:sz w:val="20"/>
                <w:szCs w:val="20"/>
                <w:lang w:eastAsia="ru-RU"/>
              </w:rPr>
              <w:t>Значение характеристики не может изменяться участником закупки</w:t>
            </w:r>
            <w:r w:rsidRPr="00836DC7">
              <w:rPr>
                <w:sz w:val="20"/>
                <w:szCs w:val="20"/>
                <w:lang w:eastAsia="ru-RU"/>
              </w:rPr>
              <w:t>  </w:t>
            </w: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r w:rsidR="00754259" w:rsidRPr="00836DC7" w:rsidTr="006D118D">
        <w:trPr>
          <w:trHeight w:val="459"/>
        </w:trPr>
        <w:tc>
          <w:tcPr>
            <w:tcW w:w="1433"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86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818"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754259" w:rsidRPr="00836DC7" w:rsidRDefault="00754259" w:rsidP="006D118D">
            <w:pPr>
              <w:suppressAutoHyphens w:val="0"/>
              <w:rPr>
                <w:sz w:val="20"/>
                <w:szCs w:val="20"/>
                <w:lang w:eastAsia="ru-RU"/>
              </w:rPr>
            </w:pPr>
          </w:p>
        </w:tc>
      </w:tr>
    </w:tbl>
    <w:p w:rsidR="00754259" w:rsidRDefault="00754259" w:rsidP="00754259">
      <w:pPr>
        <w:pStyle w:val="text"/>
        <w:widowControl w:val="0"/>
        <w:ind w:left="360" w:right="0" w:firstLine="0"/>
        <w:jc w:val="center"/>
        <w:rPr>
          <w:rFonts w:ascii="Times New Roman" w:hAnsi="Times New Roman" w:cs="Times New Roman"/>
          <w:b/>
          <w:color w:val="000000"/>
          <w:sz w:val="21"/>
          <w:szCs w:val="21"/>
        </w:rPr>
      </w:pPr>
    </w:p>
    <w:p w:rsidR="00754259" w:rsidRPr="000421D4" w:rsidRDefault="00754259" w:rsidP="00754259">
      <w:pPr>
        <w:pStyle w:val="text"/>
        <w:widowControl w:val="0"/>
        <w:ind w:left="360" w:right="0" w:firstLine="0"/>
        <w:jc w:val="center"/>
        <w:rPr>
          <w:rFonts w:ascii="Times New Roman" w:hAnsi="Times New Roman" w:cs="Times New Roman"/>
          <w:b/>
          <w:color w:val="000000"/>
          <w:sz w:val="21"/>
          <w:szCs w:val="21"/>
        </w:rPr>
      </w:pPr>
      <w:r w:rsidRPr="005A3B77">
        <w:rPr>
          <w:rFonts w:ascii="Times New Roman" w:hAnsi="Times New Roman" w:cs="Times New Roman"/>
          <w:b/>
          <w:color w:val="000000"/>
          <w:sz w:val="21"/>
          <w:szCs w:val="21"/>
        </w:rPr>
        <w:t>Требования к техническим, функциональным характеристикам</w:t>
      </w:r>
    </w:p>
    <w:p w:rsidR="00754259" w:rsidRPr="00905011" w:rsidRDefault="00754259" w:rsidP="00754259">
      <w:pPr>
        <w:pStyle w:val="af9"/>
        <w:suppressAutoHyphens w:val="0"/>
        <w:jc w:val="both"/>
        <w:rPr>
          <w:sz w:val="21"/>
          <w:szCs w:val="21"/>
        </w:rPr>
      </w:pPr>
      <w:r>
        <w:rPr>
          <w:sz w:val="21"/>
          <w:szCs w:val="21"/>
        </w:rPr>
        <w:t xml:space="preserve">         </w:t>
      </w:r>
      <w:proofErr w:type="spellStart"/>
      <w:r w:rsidRPr="00905011">
        <w:rPr>
          <w:sz w:val="21"/>
          <w:szCs w:val="21"/>
        </w:rPr>
        <w:t>Противопролежневые</w:t>
      </w:r>
      <w:proofErr w:type="spellEnd"/>
      <w:r w:rsidRPr="00905011">
        <w:rPr>
          <w:sz w:val="21"/>
          <w:szCs w:val="21"/>
        </w:rPr>
        <w:t xml:space="preserve"> матрацы и подушки должны отвечать требованиям Государственных стандартов ГОСТ </w:t>
      </w:r>
      <w:proofErr w:type="gramStart"/>
      <w:r w:rsidRPr="00905011">
        <w:rPr>
          <w:sz w:val="21"/>
          <w:szCs w:val="21"/>
        </w:rPr>
        <w:t>Р</w:t>
      </w:r>
      <w:proofErr w:type="gramEnd"/>
      <w:r w:rsidRPr="00905011">
        <w:rPr>
          <w:sz w:val="21"/>
          <w:szCs w:val="21"/>
        </w:rPr>
        <w:t xml:space="preserve"> 57769-2021 «Матрацы и подушки </w:t>
      </w:r>
      <w:proofErr w:type="spellStart"/>
      <w:r w:rsidRPr="00905011">
        <w:rPr>
          <w:sz w:val="21"/>
          <w:szCs w:val="21"/>
        </w:rPr>
        <w:t>противопролежневые</w:t>
      </w:r>
      <w:proofErr w:type="spellEnd"/>
      <w:r w:rsidRPr="00905011">
        <w:rPr>
          <w:sz w:val="21"/>
          <w:szCs w:val="21"/>
        </w:rPr>
        <w:t xml:space="preserve">. Типы и основные параметры», ГОСТ </w:t>
      </w:r>
      <w:proofErr w:type="gramStart"/>
      <w:r w:rsidRPr="00905011">
        <w:rPr>
          <w:sz w:val="21"/>
          <w:szCs w:val="21"/>
        </w:rPr>
        <w:t>Р</w:t>
      </w:r>
      <w:proofErr w:type="gramEnd"/>
      <w:r w:rsidRPr="00905011">
        <w:rPr>
          <w:sz w:val="21"/>
          <w:szCs w:val="21"/>
        </w:rPr>
        <w:t xml:space="preserve"> 51632-2021 «Технические средства реабилитации людей с ограничениями жизнедеятельности. Общие технические требования и методы испытаний», ГОСТ 19917-2014 «Мебель для сидения и лежания. Общие технические условия», ГОСТ </w:t>
      </w:r>
      <w:proofErr w:type="gramStart"/>
      <w:r w:rsidRPr="00905011">
        <w:rPr>
          <w:sz w:val="21"/>
          <w:szCs w:val="21"/>
        </w:rPr>
        <w:t>Р</w:t>
      </w:r>
      <w:proofErr w:type="gramEnd"/>
      <w:r w:rsidRPr="00905011">
        <w:rPr>
          <w:sz w:val="21"/>
          <w:szCs w:val="21"/>
        </w:rPr>
        <w:t xml:space="preserve"> 50444-2020 «Приборы, аппараты и оборудование медицинские. Общие технические требования», технической документации изготовителя, утвержденной в установленном порядке.</w:t>
      </w:r>
    </w:p>
    <w:p w:rsidR="00754259" w:rsidRDefault="00754259" w:rsidP="00754259">
      <w:pPr>
        <w:pStyle w:val="af9"/>
        <w:suppressAutoHyphens w:val="0"/>
        <w:spacing w:before="0" w:after="0"/>
        <w:jc w:val="both"/>
        <w:rPr>
          <w:sz w:val="21"/>
          <w:szCs w:val="21"/>
        </w:rPr>
      </w:pPr>
      <w:r w:rsidRPr="00905011">
        <w:rPr>
          <w:sz w:val="21"/>
          <w:szCs w:val="21"/>
        </w:rPr>
        <w:t>Элементы матрацев и подушек, контактирующие с телом человека, должны быть изготовлены из материалов, соответствующих требованиям биологической безопасности по ГОСТ ISO 10993-1-2021, ГОСТ ISO 10993</w:t>
      </w:r>
      <w:r>
        <w:rPr>
          <w:sz w:val="21"/>
          <w:szCs w:val="21"/>
        </w:rPr>
        <w:t>-5-2023, ГОСТ ISO 10993-10-2023</w:t>
      </w:r>
      <w:r w:rsidRPr="00BE4D72">
        <w:rPr>
          <w:sz w:val="21"/>
          <w:szCs w:val="21"/>
        </w:rPr>
        <w:t>.</w:t>
      </w:r>
    </w:p>
    <w:p w:rsidR="00754259" w:rsidRPr="00E372E5" w:rsidRDefault="00754259" w:rsidP="00754259">
      <w:pPr>
        <w:pStyle w:val="af9"/>
        <w:suppressAutoHyphens w:val="0"/>
        <w:spacing w:before="0" w:after="0" w:line="246" w:lineRule="exact"/>
        <w:jc w:val="both"/>
        <w:rPr>
          <w:sz w:val="26"/>
          <w:szCs w:val="26"/>
        </w:rPr>
      </w:pPr>
    </w:p>
    <w:p w:rsidR="00754259" w:rsidRPr="00B511C1" w:rsidRDefault="00754259" w:rsidP="00754259">
      <w:pPr>
        <w:pStyle w:val="text"/>
        <w:widowControl w:val="0"/>
        <w:ind w:left="360" w:right="0" w:firstLine="0"/>
        <w:jc w:val="center"/>
        <w:rPr>
          <w:rFonts w:ascii="Times New Roman" w:hAnsi="Times New Roman" w:cs="Times New Roman"/>
          <w:b/>
          <w:color w:val="000000"/>
          <w:sz w:val="21"/>
          <w:szCs w:val="21"/>
        </w:rPr>
      </w:pPr>
      <w:r w:rsidRPr="00B511C1">
        <w:rPr>
          <w:rFonts w:ascii="Times New Roman" w:hAnsi="Times New Roman" w:cs="Times New Roman"/>
          <w:b/>
          <w:color w:val="000000"/>
          <w:sz w:val="21"/>
          <w:szCs w:val="21"/>
        </w:rPr>
        <w:t>Требования к упаковке, маркировке и транспортировке</w:t>
      </w:r>
    </w:p>
    <w:p w:rsidR="00754259" w:rsidRPr="00905011" w:rsidRDefault="00754259" w:rsidP="00754259">
      <w:pPr>
        <w:pStyle w:val="af9"/>
        <w:suppressAutoHyphens w:val="0"/>
        <w:spacing w:before="0"/>
        <w:ind w:firstLine="567"/>
        <w:jc w:val="both"/>
        <w:rPr>
          <w:sz w:val="21"/>
          <w:szCs w:val="21"/>
        </w:rPr>
      </w:pPr>
      <w:r w:rsidRPr="00905011">
        <w:rPr>
          <w:sz w:val="21"/>
          <w:szCs w:val="21"/>
        </w:rPr>
        <w:t xml:space="preserve">При транспортировании и хранении матрацы и подушки должны быть устойчивы к </w:t>
      </w:r>
      <w:proofErr w:type="spellStart"/>
      <w:r w:rsidRPr="00905011">
        <w:rPr>
          <w:sz w:val="21"/>
          <w:szCs w:val="21"/>
        </w:rPr>
        <w:t>воздей¬ствию</w:t>
      </w:r>
      <w:proofErr w:type="spellEnd"/>
      <w:r w:rsidRPr="00905011">
        <w:rPr>
          <w:sz w:val="21"/>
          <w:szCs w:val="21"/>
        </w:rPr>
        <w:t xml:space="preserve"> климатических факторов внешней среды для условий хранения 2 по ГОСТ 15150-69. Допускается иное исполнение с указанием в технических условиях на матрацы и подушки конкретных видов.</w:t>
      </w:r>
    </w:p>
    <w:p w:rsidR="00754259" w:rsidRPr="00905011" w:rsidRDefault="00754259" w:rsidP="00754259">
      <w:pPr>
        <w:pStyle w:val="af9"/>
        <w:suppressAutoHyphens w:val="0"/>
        <w:spacing w:before="0"/>
        <w:ind w:firstLine="567"/>
        <w:jc w:val="both"/>
        <w:rPr>
          <w:sz w:val="21"/>
          <w:szCs w:val="21"/>
        </w:rPr>
      </w:pPr>
      <w:r w:rsidRPr="00905011">
        <w:rPr>
          <w:sz w:val="21"/>
          <w:szCs w:val="21"/>
        </w:rPr>
        <w:t xml:space="preserve">Изделия должны быть устойчивы к механическим воздействиям, возникающим при транспортировании и обладать </w:t>
      </w:r>
      <w:proofErr w:type="spellStart"/>
      <w:r w:rsidRPr="00905011">
        <w:rPr>
          <w:sz w:val="21"/>
          <w:szCs w:val="21"/>
        </w:rPr>
        <w:t>вибропрочностью</w:t>
      </w:r>
      <w:proofErr w:type="spellEnd"/>
      <w:r w:rsidRPr="00905011">
        <w:rPr>
          <w:sz w:val="21"/>
          <w:szCs w:val="21"/>
        </w:rPr>
        <w:t xml:space="preserve"> и </w:t>
      </w:r>
      <w:proofErr w:type="spellStart"/>
      <w:r w:rsidRPr="00905011">
        <w:rPr>
          <w:sz w:val="21"/>
          <w:szCs w:val="21"/>
        </w:rPr>
        <w:t>ударопрочностью</w:t>
      </w:r>
      <w:proofErr w:type="spellEnd"/>
      <w:r w:rsidRPr="00905011">
        <w:rPr>
          <w:sz w:val="21"/>
          <w:szCs w:val="21"/>
        </w:rPr>
        <w:t xml:space="preserve"> для изделий группы 1 по ГОСТ </w:t>
      </w:r>
      <w:proofErr w:type="gramStart"/>
      <w:r w:rsidRPr="00905011">
        <w:rPr>
          <w:sz w:val="21"/>
          <w:szCs w:val="21"/>
        </w:rPr>
        <w:t>Р</w:t>
      </w:r>
      <w:proofErr w:type="gramEnd"/>
      <w:r w:rsidRPr="00905011">
        <w:rPr>
          <w:sz w:val="21"/>
          <w:szCs w:val="21"/>
        </w:rPr>
        <w:t xml:space="preserve"> 50444-2020.</w:t>
      </w:r>
    </w:p>
    <w:p w:rsidR="00754259" w:rsidRPr="00905011" w:rsidRDefault="00754259" w:rsidP="00754259">
      <w:pPr>
        <w:pStyle w:val="af9"/>
        <w:suppressAutoHyphens w:val="0"/>
        <w:spacing w:before="0"/>
        <w:ind w:firstLine="567"/>
        <w:jc w:val="both"/>
        <w:rPr>
          <w:sz w:val="21"/>
          <w:szCs w:val="21"/>
        </w:rPr>
      </w:pPr>
      <w:r w:rsidRPr="00905011">
        <w:rPr>
          <w:sz w:val="21"/>
          <w:szCs w:val="21"/>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754259" w:rsidRDefault="00754259" w:rsidP="00754259">
      <w:pPr>
        <w:pStyle w:val="af9"/>
        <w:suppressAutoHyphens w:val="0"/>
        <w:spacing w:before="0" w:after="0"/>
        <w:ind w:firstLine="567"/>
        <w:jc w:val="both"/>
        <w:rPr>
          <w:sz w:val="21"/>
          <w:szCs w:val="21"/>
        </w:rPr>
      </w:pPr>
      <w:proofErr w:type="spellStart"/>
      <w:r w:rsidRPr="00905011">
        <w:rPr>
          <w:sz w:val="21"/>
          <w:szCs w:val="21"/>
        </w:rPr>
        <w:t>Противопролежневые</w:t>
      </w:r>
      <w:proofErr w:type="spellEnd"/>
      <w:r w:rsidRPr="00905011">
        <w:rPr>
          <w:sz w:val="21"/>
          <w:szCs w:val="21"/>
        </w:rPr>
        <w:t xml:space="preserve"> матрацы и подушки должны иметь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 действующим законодательством Российской Федерации</w:t>
      </w:r>
      <w:r w:rsidRPr="00B3057A">
        <w:rPr>
          <w:sz w:val="21"/>
          <w:szCs w:val="21"/>
        </w:rPr>
        <w:t>.</w:t>
      </w:r>
    </w:p>
    <w:p w:rsidR="00754259" w:rsidRPr="00E372E5" w:rsidRDefault="00754259" w:rsidP="00754259">
      <w:pPr>
        <w:pStyle w:val="af9"/>
        <w:suppressAutoHyphens w:val="0"/>
        <w:spacing w:before="0" w:after="0" w:line="246" w:lineRule="exact"/>
        <w:ind w:firstLine="709"/>
        <w:jc w:val="both"/>
        <w:rPr>
          <w:sz w:val="26"/>
          <w:szCs w:val="26"/>
        </w:rPr>
      </w:pPr>
    </w:p>
    <w:p w:rsidR="00754259" w:rsidRPr="00B511C1" w:rsidRDefault="00754259" w:rsidP="00754259">
      <w:pPr>
        <w:pStyle w:val="text"/>
        <w:widowControl w:val="0"/>
        <w:ind w:left="360" w:right="0" w:firstLine="0"/>
        <w:jc w:val="center"/>
        <w:rPr>
          <w:rFonts w:ascii="Times New Roman" w:hAnsi="Times New Roman" w:cs="Times New Roman"/>
          <w:b/>
          <w:color w:val="000000"/>
          <w:sz w:val="21"/>
          <w:szCs w:val="21"/>
        </w:rPr>
      </w:pPr>
      <w:r w:rsidRPr="00B511C1">
        <w:rPr>
          <w:rFonts w:ascii="Times New Roman" w:hAnsi="Times New Roman" w:cs="Times New Roman"/>
          <w:b/>
          <w:color w:val="000000"/>
          <w:sz w:val="21"/>
          <w:szCs w:val="21"/>
        </w:rPr>
        <w:t>Гарантийные обязательства</w:t>
      </w:r>
    </w:p>
    <w:p w:rsidR="00754259" w:rsidRPr="00905011" w:rsidRDefault="00754259" w:rsidP="00754259">
      <w:pPr>
        <w:pStyle w:val="af9"/>
        <w:suppressAutoHyphens w:val="0"/>
        <w:spacing w:before="0"/>
        <w:ind w:firstLine="709"/>
        <w:jc w:val="both"/>
        <w:rPr>
          <w:sz w:val="21"/>
          <w:szCs w:val="21"/>
        </w:rPr>
      </w:pPr>
      <w:proofErr w:type="gramStart"/>
      <w:r w:rsidRPr="00905011">
        <w:rPr>
          <w:sz w:val="21"/>
          <w:szCs w:val="21"/>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rsidRPr="00905011">
        <w:rPr>
          <w:sz w:val="21"/>
          <w:szCs w:val="21"/>
        </w:rPr>
        <w:t xml:space="preserve"> в обычных условиях. На Товаре не должно быть механических повреждений.</w:t>
      </w:r>
    </w:p>
    <w:p w:rsidR="00754259" w:rsidRPr="00905011" w:rsidRDefault="00754259" w:rsidP="00754259">
      <w:pPr>
        <w:pStyle w:val="af9"/>
        <w:suppressAutoHyphens w:val="0"/>
        <w:spacing w:before="0"/>
        <w:ind w:firstLine="709"/>
        <w:jc w:val="both"/>
        <w:rPr>
          <w:sz w:val="21"/>
          <w:szCs w:val="21"/>
        </w:rPr>
      </w:pPr>
      <w:r w:rsidRPr="00905011">
        <w:rPr>
          <w:sz w:val="21"/>
          <w:szCs w:val="21"/>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754259" w:rsidRPr="00905011" w:rsidRDefault="00754259" w:rsidP="00754259">
      <w:pPr>
        <w:pStyle w:val="af9"/>
        <w:suppressAutoHyphens w:val="0"/>
        <w:spacing w:before="0"/>
        <w:ind w:firstLine="709"/>
        <w:jc w:val="both"/>
        <w:rPr>
          <w:sz w:val="21"/>
          <w:szCs w:val="21"/>
        </w:rPr>
      </w:pPr>
      <w:proofErr w:type="spellStart"/>
      <w:r w:rsidRPr="00905011">
        <w:rPr>
          <w:sz w:val="21"/>
          <w:szCs w:val="21"/>
        </w:rPr>
        <w:t>Противопролежневые</w:t>
      </w:r>
      <w:proofErr w:type="spellEnd"/>
      <w:r w:rsidRPr="00905011">
        <w:rPr>
          <w:sz w:val="21"/>
          <w:szCs w:val="21"/>
        </w:rPr>
        <w:t xml:space="preserve"> матрацы и подушки должны иметь установленный производителем срок службы не менее 3 (трех) лет со дня подписания Получателем акта приема-передачи Товара. </w:t>
      </w:r>
    </w:p>
    <w:p w:rsidR="00754259" w:rsidRPr="00905011" w:rsidRDefault="00754259" w:rsidP="00754259">
      <w:pPr>
        <w:pStyle w:val="af9"/>
        <w:suppressAutoHyphens w:val="0"/>
        <w:spacing w:before="0"/>
        <w:ind w:firstLine="709"/>
        <w:jc w:val="both"/>
        <w:rPr>
          <w:sz w:val="21"/>
          <w:szCs w:val="21"/>
        </w:rPr>
      </w:pPr>
      <w:r w:rsidRPr="00905011">
        <w:rPr>
          <w:sz w:val="21"/>
          <w:szCs w:val="21"/>
        </w:rPr>
        <w:t>Гарантийный срок эксплуатации Товара должен составлять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но не менее срока, установленного изготовителем. Установленный гарантийный срок не распространяется на случаи нарушения Получателем условий и требований к эксплуатации Товара.</w:t>
      </w:r>
    </w:p>
    <w:p w:rsidR="00754259" w:rsidRPr="00905011" w:rsidRDefault="00754259" w:rsidP="00754259">
      <w:pPr>
        <w:pStyle w:val="af9"/>
        <w:suppressAutoHyphens w:val="0"/>
        <w:spacing w:before="0"/>
        <w:ind w:firstLine="709"/>
        <w:jc w:val="both"/>
        <w:rPr>
          <w:sz w:val="21"/>
          <w:szCs w:val="21"/>
        </w:rPr>
      </w:pPr>
      <w:proofErr w:type="gramStart"/>
      <w:r w:rsidRPr="00905011">
        <w:rPr>
          <w:sz w:val="21"/>
          <w:szCs w:val="21"/>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754259" w:rsidRPr="00905011" w:rsidRDefault="00754259" w:rsidP="00754259">
      <w:pPr>
        <w:pStyle w:val="af9"/>
        <w:suppressAutoHyphens w:val="0"/>
        <w:spacing w:before="0"/>
        <w:ind w:firstLine="709"/>
        <w:jc w:val="both"/>
        <w:rPr>
          <w:sz w:val="21"/>
          <w:szCs w:val="21"/>
        </w:rPr>
      </w:pPr>
      <w:r w:rsidRPr="00905011">
        <w:rPr>
          <w:sz w:val="21"/>
          <w:szCs w:val="21"/>
        </w:rPr>
        <w:t>Срок выполнения гарантийного ремонта Товара не должен превышать 15 рабочих дней со дня обращения Получателя (Заказчика).</w:t>
      </w:r>
    </w:p>
    <w:p w:rsidR="00754259" w:rsidRPr="00905011" w:rsidRDefault="00754259" w:rsidP="00754259">
      <w:pPr>
        <w:pStyle w:val="af9"/>
        <w:suppressAutoHyphens w:val="0"/>
        <w:spacing w:before="0"/>
        <w:ind w:firstLine="709"/>
        <w:jc w:val="both"/>
        <w:rPr>
          <w:sz w:val="21"/>
          <w:szCs w:val="21"/>
        </w:rPr>
      </w:pPr>
      <w:r w:rsidRPr="00905011">
        <w:rPr>
          <w:sz w:val="21"/>
          <w:szCs w:val="21"/>
        </w:rPr>
        <w:t xml:space="preserve">Срок осуществления замены Товара не должен превышать 15 рабочих дней со дня обращения </w:t>
      </w:r>
      <w:r w:rsidRPr="00905011">
        <w:rPr>
          <w:sz w:val="21"/>
          <w:szCs w:val="21"/>
        </w:rPr>
        <w:lastRenderedPageBreak/>
        <w:t>Получателя (Заказчика).</w:t>
      </w:r>
    </w:p>
    <w:p w:rsidR="00754259" w:rsidRPr="00905011" w:rsidRDefault="00754259" w:rsidP="00754259">
      <w:pPr>
        <w:pStyle w:val="af9"/>
        <w:suppressAutoHyphens w:val="0"/>
        <w:spacing w:before="0"/>
        <w:ind w:firstLine="709"/>
        <w:jc w:val="both"/>
        <w:rPr>
          <w:sz w:val="21"/>
          <w:szCs w:val="21"/>
        </w:rPr>
      </w:pPr>
      <w:r w:rsidRPr="00905011">
        <w:rPr>
          <w:sz w:val="21"/>
          <w:szCs w:val="21"/>
        </w:rPr>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754259" w:rsidRPr="00B511C1" w:rsidRDefault="00754259" w:rsidP="00754259">
      <w:pPr>
        <w:pStyle w:val="af9"/>
        <w:suppressAutoHyphens w:val="0"/>
        <w:spacing w:before="0" w:after="0"/>
        <w:ind w:firstLine="709"/>
        <w:jc w:val="both"/>
        <w:rPr>
          <w:sz w:val="26"/>
          <w:szCs w:val="26"/>
        </w:rPr>
      </w:pPr>
      <w:r w:rsidRPr="00905011">
        <w:rPr>
          <w:sz w:val="21"/>
          <w:szCs w:val="21"/>
        </w:rP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905011">
        <w:rPr>
          <w:sz w:val="21"/>
          <w:szCs w:val="21"/>
        </w:rPr>
        <w:t>с даты предоставления</w:t>
      </w:r>
      <w:proofErr w:type="gramEnd"/>
      <w:r w:rsidRPr="00905011">
        <w:rPr>
          <w:sz w:val="21"/>
          <w:szCs w:val="21"/>
        </w:rPr>
        <w:t xml:space="preserve"> его инвалиду, ветерану.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905011">
        <w:rPr>
          <w:sz w:val="21"/>
          <w:szCs w:val="21"/>
        </w:rPr>
        <w:t>C</w:t>
      </w:r>
      <w:proofErr w:type="gramEnd"/>
      <w:r w:rsidRPr="00905011">
        <w:rPr>
          <w:sz w:val="21"/>
          <w:szCs w:val="21"/>
        </w:rPr>
        <w:t>Р</w:t>
      </w:r>
      <w:r w:rsidRPr="00B511C1">
        <w:rPr>
          <w:sz w:val="26"/>
          <w:szCs w:val="26"/>
        </w:rPr>
        <w:t>.</w:t>
      </w:r>
    </w:p>
    <w:p w:rsidR="00754259" w:rsidRPr="00B511C1" w:rsidRDefault="00754259" w:rsidP="00754259">
      <w:pPr>
        <w:rPr>
          <w:sz w:val="26"/>
          <w:szCs w:val="26"/>
        </w:rPr>
      </w:pPr>
      <w:r w:rsidRPr="00B511C1">
        <w:rPr>
          <w:i/>
          <w:sz w:val="26"/>
          <w:szCs w:val="26"/>
        </w:rPr>
        <w:t xml:space="preserve"> </w:t>
      </w:r>
    </w:p>
    <w:p w:rsidR="00754259" w:rsidRPr="00905011" w:rsidRDefault="00754259" w:rsidP="00754259">
      <w:pPr>
        <w:pStyle w:val="af9"/>
        <w:suppressAutoHyphens w:val="0"/>
        <w:spacing w:before="0"/>
        <w:ind w:firstLine="709"/>
        <w:jc w:val="both"/>
        <w:rPr>
          <w:sz w:val="21"/>
          <w:szCs w:val="21"/>
        </w:rPr>
      </w:pPr>
      <w:r w:rsidRPr="00B511C1">
        <w:rPr>
          <w:b/>
        </w:rPr>
        <w:t xml:space="preserve">   </w:t>
      </w:r>
      <w:r w:rsidRPr="00B511C1">
        <w:rPr>
          <w:b/>
          <w:color w:val="000000"/>
          <w:sz w:val="21"/>
          <w:szCs w:val="21"/>
          <w:lang w:eastAsia="ru-RU"/>
        </w:rPr>
        <w:t xml:space="preserve">Место поставки товара: </w:t>
      </w:r>
      <w:r w:rsidRPr="00905011">
        <w:rPr>
          <w:sz w:val="21"/>
          <w:szCs w:val="21"/>
        </w:rPr>
        <w:t xml:space="preserve">Российская Федерация, Поставка Товара осуществляется в пределах   административных границ субъекта Российской Федерации - г. Тула и/или Тульской области по выбору Получателя одного из способов получения Товара: </w:t>
      </w:r>
    </w:p>
    <w:p w:rsidR="00754259" w:rsidRPr="00905011" w:rsidRDefault="00754259" w:rsidP="00754259">
      <w:pPr>
        <w:pStyle w:val="af9"/>
        <w:suppressAutoHyphens w:val="0"/>
        <w:spacing w:before="0"/>
        <w:ind w:firstLine="709"/>
        <w:jc w:val="both"/>
        <w:rPr>
          <w:sz w:val="21"/>
          <w:szCs w:val="21"/>
        </w:rPr>
      </w:pPr>
      <w:r w:rsidRPr="00905011">
        <w:rPr>
          <w:sz w:val="21"/>
          <w:szCs w:val="21"/>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754259" w:rsidRDefault="00754259" w:rsidP="00754259">
      <w:pPr>
        <w:pStyle w:val="af9"/>
        <w:suppressAutoHyphens w:val="0"/>
        <w:spacing w:before="0" w:after="0"/>
        <w:ind w:firstLine="709"/>
        <w:jc w:val="both"/>
        <w:rPr>
          <w:sz w:val="21"/>
          <w:szCs w:val="21"/>
        </w:rPr>
      </w:pPr>
      <w:proofErr w:type="gramStart"/>
      <w:r w:rsidRPr="00905011">
        <w:rPr>
          <w:sz w:val="21"/>
          <w:szCs w:val="21"/>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B511C1">
        <w:rPr>
          <w:sz w:val="21"/>
          <w:szCs w:val="21"/>
        </w:rPr>
        <w:t>.</w:t>
      </w:r>
      <w:proofErr w:type="gramEnd"/>
    </w:p>
    <w:p w:rsidR="00754259" w:rsidRPr="00E372E5" w:rsidRDefault="00754259" w:rsidP="00754259">
      <w:pPr>
        <w:pStyle w:val="af9"/>
        <w:suppressAutoHyphens w:val="0"/>
        <w:spacing w:before="0" w:after="0" w:line="246" w:lineRule="exact"/>
        <w:ind w:firstLine="709"/>
        <w:jc w:val="both"/>
        <w:rPr>
          <w:sz w:val="26"/>
          <w:szCs w:val="26"/>
        </w:rPr>
      </w:pPr>
    </w:p>
    <w:p w:rsidR="00754259" w:rsidRPr="00905011" w:rsidRDefault="00754259" w:rsidP="00754259">
      <w:pPr>
        <w:numPr>
          <w:ilvl w:val="0"/>
          <w:numId w:val="2"/>
        </w:numPr>
        <w:suppressAutoHyphens w:val="0"/>
        <w:contextualSpacing/>
        <w:jc w:val="both"/>
        <w:rPr>
          <w:sz w:val="21"/>
          <w:szCs w:val="21"/>
          <w:shd w:val="clear" w:color="auto" w:fill="FFFFFF"/>
          <w:lang w:eastAsia="ru-RU"/>
        </w:rPr>
      </w:pPr>
      <w:r w:rsidRPr="00E372E5">
        <w:rPr>
          <w:b/>
          <w:spacing w:val="-2"/>
          <w:sz w:val="26"/>
          <w:szCs w:val="26"/>
        </w:rPr>
        <w:t xml:space="preserve">             </w:t>
      </w:r>
      <w:r w:rsidRPr="00B511C1">
        <w:rPr>
          <w:b/>
          <w:color w:val="000000"/>
          <w:sz w:val="21"/>
          <w:szCs w:val="21"/>
          <w:lang w:eastAsia="ru-RU"/>
        </w:rPr>
        <w:t>Срок и условия поставки:</w:t>
      </w:r>
      <w:r w:rsidRPr="00E372E5">
        <w:rPr>
          <w:b/>
          <w:spacing w:val="-2"/>
          <w:sz w:val="26"/>
          <w:szCs w:val="26"/>
        </w:rPr>
        <w:t xml:space="preserve"> </w:t>
      </w:r>
      <w:r w:rsidRPr="00905011">
        <w:rPr>
          <w:sz w:val="21"/>
          <w:szCs w:val="21"/>
          <w:shd w:val="clear" w:color="auto" w:fill="FFFFFF"/>
          <w:lang w:eastAsia="ru-RU"/>
        </w:rPr>
        <w:t xml:space="preserve">Срок поставки товара: </w:t>
      </w:r>
      <w:proofErr w:type="gramStart"/>
      <w:r w:rsidRPr="00905011">
        <w:rPr>
          <w:sz w:val="21"/>
          <w:szCs w:val="21"/>
          <w:shd w:val="clear" w:color="auto" w:fill="FFFFFF"/>
          <w:lang w:eastAsia="ru-RU"/>
        </w:rPr>
        <w:t>с даты получения</w:t>
      </w:r>
      <w:proofErr w:type="gramEnd"/>
      <w:r w:rsidRPr="00905011">
        <w:rPr>
          <w:sz w:val="21"/>
          <w:szCs w:val="21"/>
          <w:shd w:val="clear" w:color="auto" w:fill="FFFFFF"/>
          <w:lang w:eastAsia="ru-RU"/>
        </w:rPr>
        <w:t xml:space="preserve"> от Заказчика реестра получателей Товара до «31» июля 2025 года (включительно). </w:t>
      </w:r>
    </w:p>
    <w:p w:rsidR="00754259" w:rsidRPr="00905011" w:rsidRDefault="00754259" w:rsidP="00754259">
      <w:pPr>
        <w:numPr>
          <w:ilvl w:val="0"/>
          <w:numId w:val="2"/>
        </w:numPr>
        <w:suppressAutoHyphens w:val="0"/>
        <w:ind w:firstLine="709"/>
        <w:contextualSpacing/>
        <w:jc w:val="both"/>
        <w:rPr>
          <w:sz w:val="21"/>
          <w:szCs w:val="21"/>
          <w:shd w:val="clear" w:color="auto" w:fill="FFFFFF"/>
          <w:lang w:eastAsia="ru-RU"/>
        </w:rPr>
      </w:pPr>
      <w:r w:rsidRPr="00905011">
        <w:rPr>
          <w:sz w:val="21"/>
          <w:szCs w:val="21"/>
          <w:shd w:val="clear" w:color="auto" w:fill="FFFFFF"/>
          <w:lang w:eastAsia="ru-RU"/>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754259" w:rsidRPr="00905011" w:rsidRDefault="00754259" w:rsidP="00754259">
      <w:pPr>
        <w:numPr>
          <w:ilvl w:val="0"/>
          <w:numId w:val="2"/>
        </w:numPr>
        <w:suppressAutoHyphens w:val="0"/>
        <w:contextualSpacing/>
        <w:jc w:val="both"/>
        <w:rPr>
          <w:sz w:val="21"/>
          <w:szCs w:val="21"/>
          <w:shd w:val="clear" w:color="auto" w:fill="FFFFFF"/>
          <w:lang w:eastAsia="ru-RU"/>
        </w:rPr>
      </w:pPr>
      <w:r w:rsidRPr="00905011">
        <w:rPr>
          <w:sz w:val="21"/>
          <w:szCs w:val="21"/>
          <w:shd w:val="clear" w:color="auto" w:fill="FFFFFF"/>
          <w:lang w:eastAsia="ru-RU"/>
        </w:rPr>
        <w:t>Поставка Товара до получателей осуществляется в соответствии с Реестром получателей Товара, но не ранее 01.01.2025 г.</w:t>
      </w:r>
    </w:p>
    <w:p w:rsidR="00754259" w:rsidRPr="00905011" w:rsidRDefault="00754259" w:rsidP="00754259">
      <w:pPr>
        <w:numPr>
          <w:ilvl w:val="0"/>
          <w:numId w:val="2"/>
        </w:numPr>
        <w:suppressAutoHyphens w:val="0"/>
        <w:ind w:firstLine="709"/>
        <w:contextualSpacing/>
        <w:jc w:val="both"/>
        <w:rPr>
          <w:sz w:val="21"/>
          <w:szCs w:val="21"/>
          <w:shd w:val="clear" w:color="auto" w:fill="FFFFFF"/>
          <w:lang w:eastAsia="ru-RU"/>
        </w:rPr>
      </w:pPr>
      <w:r w:rsidRPr="00905011">
        <w:rPr>
          <w:sz w:val="21"/>
          <w:szCs w:val="21"/>
          <w:shd w:val="clear" w:color="auto" w:fill="FFFFFF"/>
          <w:lang w:eastAsia="ru-RU"/>
        </w:rPr>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754259" w:rsidRPr="00E372E5" w:rsidRDefault="00754259" w:rsidP="00754259">
      <w:pPr>
        <w:numPr>
          <w:ilvl w:val="0"/>
          <w:numId w:val="2"/>
        </w:numPr>
        <w:suppressAutoHyphens w:val="0"/>
        <w:ind w:firstLine="709"/>
        <w:contextualSpacing/>
        <w:jc w:val="both"/>
        <w:rPr>
          <w:sz w:val="26"/>
          <w:szCs w:val="26"/>
        </w:rPr>
      </w:pPr>
      <w:r w:rsidRPr="00905011">
        <w:rPr>
          <w:sz w:val="21"/>
          <w:szCs w:val="21"/>
          <w:shd w:val="clear" w:color="auto" w:fill="FFFFFF"/>
          <w:lang w:eastAsia="ru-RU"/>
        </w:rPr>
        <w:t>Передача Товара Получателю (представителю Получателя) на основании акта приема-передачи Товара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203FF9" w:rsidRPr="00203FF9" w:rsidRDefault="00203FF9" w:rsidP="00754259">
      <w:pPr>
        <w:widowControl w:val="0"/>
        <w:suppressAutoHyphens w:val="0"/>
        <w:contextualSpacing/>
        <w:jc w:val="both"/>
        <w:rPr>
          <w:shd w:val="clear" w:color="auto" w:fill="FFFFFF"/>
          <w:lang w:eastAsia="ru-RU"/>
        </w:rPr>
      </w:pPr>
    </w:p>
    <w:sectPr w:rsidR="00203FF9" w:rsidRPr="00203FF9"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C5" w:rsidRDefault="00C579C5" w:rsidP="00583C19">
      <w:r>
        <w:separator/>
      </w:r>
    </w:p>
  </w:endnote>
  <w:endnote w:type="continuationSeparator" w:id="0">
    <w:p w:rsidR="00C579C5" w:rsidRDefault="00C579C5"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C5" w:rsidRDefault="00C579C5" w:rsidP="00583C19">
      <w:r>
        <w:separator/>
      </w:r>
    </w:p>
  </w:footnote>
  <w:footnote w:type="continuationSeparator" w:id="0">
    <w:p w:rsidR="00C579C5" w:rsidRDefault="00C579C5"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5463"/>
    <w:rsid w:val="0010616A"/>
    <w:rsid w:val="001216E4"/>
    <w:rsid w:val="00122AAC"/>
    <w:rsid w:val="00122AB2"/>
    <w:rsid w:val="001347D3"/>
    <w:rsid w:val="00134923"/>
    <w:rsid w:val="00134B55"/>
    <w:rsid w:val="00137D77"/>
    <w:rsid w:val="0015467F"/>
    <w:rsid w:val="00165A21"/>
    <w:rsid w:val="00184859"/>
    <w:rsid w:val="0019128B"/>
    <w:rsid w:val="001A36ED"/>
    <w:rsid w:val="001A6916"/>
    <w:rsid w:val="001B0C9A"/>
    <w:rsid w:val="001D19B0"/>
    <w:rsid w:val="001E1151"/>
    <w:rsid w:val="001E7B3F"/>
    <w:rsid w:val="001F0B4B"/>
    <w:rsid w:val="001F29AC"/>
    <w:rsid w:val="00201AF9"/>
    <w:rsid w:val="00203F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211"/>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54259"/>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3356"/>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6AFF"/>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5764"/>
    <w:rsid w:val="00D662EF"/>
    <w:rsid w:val="00D74D6A"/>
    <w:rsid w:val="00D75F2D"/>
    <w:rsid w:val="00D81088"/>
    <w:rsid w:val="00D81494"/>
    <w:rsid w:val="00D874E3"/>
    <w:rsid w:val="00D95E6D"/>
    <w:rsid w:val="00DA0328"/>
    <w:rsid w:val="00DA5B9B"/>
    <w:rsid w:val="00DB33DF"/>
    <w:rsid w:val="00DB392A"/>
    <w:rsid w:val="00DB5A72"/>
    <w:rsid w:val="00DB716E"/>
    <w:rsid w:val="00DC4C5B"/>
    <w:rsid w:val="00DC63FA"/>
    <w:rsid w:val="00DD08A9"/>
    <w:rsid w:val="00DD774B"/>
    <w:rsid w:val="00DE2AAA"/>
    <w:rsid w:val="00DF1CC4"/>
    <w:rsid w:val="00E052A5"/>
    <w:rsid w:val="00E05A70"/>
    <w:rsid w:val="00E07087"/>
    <w:rsid w:val="00E14FE6"/>
    <w:rsid w:val="00E17C75"/>
    <w:rsid w:val="00E24B58"/>
    <w:rsid w:val="00E3306E"/>
    <w:rsid w:val="00E40AD6"/>
    <w:rsid w:val="00E43DE3"/>
    <w:rsid w:val="00E44C3F"/>
    <w:rsid w:val="00E47CBF"/>
    <w:rsid w:val="00E7126B"/>
    <w:rsid w:val="00E72F34"/>
    <w:rsid w:val="00E760F2"/>
    <w:rsid w:val="00E76CE9"/>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509E6"/>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Обычный (Интернет)"/>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 w:type="character" w:customStyle="1" w:styleId="sectiontitle">
    <w:name w:val="section__title"/>
    <w:rsid w:val="00754259"/>
  </w:style>
  <w:style w:type="character" w:customStyle="1" w:styleId="sectioninfo">
    <w:name w:val="section__info"/>
    <w:rsid w:val="0075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816F-7FF8-4482-98B7-CEB78994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4</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11203</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Ростовцев Александр Александрович</cp:lastModifiedBy>
  <cp:revision>203</cp:revision>
  <cp:lastPrinted>2023-03-15T07:03:00Z</cp:lastPrinted>
  <dcterms:created xsi:type="dcterms:W3CDTF">2016-11-09T09:41:00Z</dcterms:created>
  <dcterms:modified xsi:type="dcterms:W3CDTF">2024-11-15T12:35:00Z</dcterms:modified>
</cp:coreProperties>
</file>