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5E" w:rsidRPr="00D7445E" w:rsidRDefault="00D7445E" w:rsidP="00D7445E">
      <w:pPr>
        <w:widowControl w:val="0"/>
        <w:numPr>
          <w:ilvl w:val="0"/>
          <w:numId w:val="10"/>
        </w:numPr>
        <w:spacing w:after="0" w:line="240" w:lineRule="auto"/>
        <w:ind w:right="23"/>
        <w:jc w:val="right"/>
        <w:rPr>
          <w:bCs/>
          <w:i/>
          <w:color w:val="auto"/>
          <w:szCs w:val="24"/>
          <w:lang w:val="en-US"/>
        </w:rPr>
      </w:pPr>
      <w:proofErr w:type="spellStart"/>
      <w:r w:rsidRPr="00D7445E">
        <w:rPr>
          <w:bCs/>
          <w:i/>
          <w:color w:val="auto"/>
          <w:szCs w:val="24"/>
          <w:lang w:val="en-US"/>
        </w:rPr>
        <w:t>Приложение</w:t>
      </w:r>
      <w:proofErr w:type="spellEnd"/>
      <w:r w:rsidRPr="00D7445E">
        <w:rPr>
          <w:bCs/>
          <w:i/>
          <w:color w:val="auto"/>
          <w:szCs w:val="24"/>
          <w:lang w:val="en-US"/>
        </w:rPr>
        <w:t xml:space="preserve"> №</w:t>
      </w:r>
      <w:r>
        <w:rPr>
          <w:bCs/>
          <w:i/>
          <w:color w:val="auto"/>
          <w:szCs w:val="24"/>
        </w:rPr>
        <w:t>1</w:t>
      </w:r>
      <w:r w:rsidRPr="00D7445E">
        <w:rPr>
          <w:bCs/>
          <w:i/>
          <w:color w:val="auto"/>
          <w:szCs w:val="24"/>
          <w:lang w:val="en-US"/>
        </w:rPr>
        <w:t xml:space="preserve"> </w:t>
      </w:r>
    </w:p>
    <w:p w:rsidR="00D7445E" w:rsidRPr="00D7445E" w:rsidRDefault="00D7445E" w:rsidP="00D7445E">
      <w:pPr>
        <w:widowControl w:val="0"/>
        <w:numPr>
          <w:ilvl w:val="0"/>
          <w:numId w:val="10"/>
        </w:numPr>
        <w:spacing w:after="0" w:line="240" w:lineRule="auto"/>
        <w:ind w:right="23"/>
        <w:jc w:val="right"/>
        <w:rPr>
          <w:bCs/>
          <w:i/>
          <w:color w:val="auto"/>
          <w:szCs w:val="24"/>
          <w:lang w:val="en-US"/>
        </w:rPr>
      </w:pPr>
      <w:r w:rsidRPr="00D7445E">
        <w:rPr>
          <w:bCs/>
          <w:i/>
          <w:color w:val="auto"/>
          <w:szCs w:val="24"/>
          <w:lang w:val="en-US"/>
        </w:rPr>
        <w:t xml:space="preserve">к </w:t>
      </w:r>
      <w:proofErr w:type="spellStart"/>
      <w:r w:rsidRPr="00D7445E">
        <w:rPr>
          <w:bCs/>
          <w:i/>
          <w:color w:val="auto"/>
          <w:szCs w:val="24"/>
          <w:lang w:val="en-US"/>
        </w:rPr>
        <w:t>извещению</w:t>
      </w:r>
      <w:proofErr w:type="spellEnd"/>
      <w:r w:rsidRPr="00D7445E">
        <w:rPr>
          <w:bCs/>
          <w:i/>
          <w:color w:val="auto"/>
          <w:szCs w:val="24"/>
          <w:lang w:val="en-US"/>
        </w:rPr>
        <w:t xml:space="preserve"> о </w:t>
      </w:r>
      <w:proofErr w:type="spellStart"/>
      <w:r w:rsidRPr="00D7445E">
        <w:rPr>
          <w:bCs/>
          <w:i/>
          <w:color w:val="auto"/>
          <w:szCs w:val="24"/>
          <w:lang w:val="en-US"/>
        </w:rPr>
        <w:t>проведении</w:t>
      </w:r>
      <w:proofErr w:type="spellEnd"/>
      <w:r w:rsidRPr="00D7445E">
        <w:rPr>
          <w:bCs/>
          <w:i/>
          <w:color w:val="auto"/>
          <w:szCs w:val="24"/>
          <w:lang w:val="en-US"/>
        </w:rPr>
        <w:t xml:space="preserve"> </w:t>
      </w:r>
      <w:proofErr w:type="spellStart"/>
      <w:r w:rsidRPr="00D7445E">
        <w:rPr>
          <w:bCs/>
          <w:i/>
          <w:color w:val="auto"/>
          <w:szCs w:val="24"/>
          <w:lang w:val="en-US"/>
        </w:rPr>
        <w:t>закупки</w:t>
      </w:r>
      <w:proofErr w:type="spellEnd"/>
    </w:p>
    <w:p w:rsidR="00D7445E" w:rsidRDefault="00D7445E" w:rsidP="007874E8">
      <w:pPr>
        <w:spacing w:line="259" w:lineRule="auto"/>
        <w:ind w:left="135"/>
        <w:jc w:val="center"/>
        <w:rPr>
          <w:b/>
          <w:lang w:val="en-US"/>
        </w:rPr>
      </w:pPr>
    </w:p>
    <w:p w:rsidR="007874E8" w:rsidRDefault="007874E8" w:rsidP="007874E8">
      <w:pPr>
        <w:spacing w:line="259" w:lineRule="auto"/>
        <w:ind w:left="135"/>
        <w:jc w:val="center"/>
      </w:pPr>
      <w:r>
        <w:rPr>
          <w:b/>
        </w:rPr>
        <w:t>Описание объекта закупки (техническое задание)</w:t>
      </w:r>
    </w:p>
    <w:p w:rsidR="007874E8" w:rsidRDefault="007874E8" w:rsidP="007874E8">
      <w:pPr>
        <w:spacing w:after="11" w:line="192" w:lineRule="auto"/>
        <w:ind w:left="762"/>
        <w:jc w:val="left"/>
      </w:pPr>
      <w:r>
        <w:rPr>
          <w:b/>
        </w:rPr>
        <w:t xml:space="preserve">на выполнение работ в 2025 году по изготовлению протезов верхних конечностей </w:t>
      </w:r>
    </w:p>
    <w:p w:rsidR="007874E8" w:rsidRDefault="007874E8" w:rsidP="007874E8">
      <w:pPr>
        <w:spacing w:after="323" w:line="192" w:lineRule="auto"/>
        <w:ind w:left="965"/>
        <w:jc w:val="left"/>
      </w:pPr>
      <w:r>
        <w:rPr>
          <w:b/>
        </w:rPr>
        <w:t xml:space="preserve">(далее – Изделия) для социального обеспечения граждан (далее - Получатели) </w:t>
      </w:r>
    </w:p>
    <w:p w:rsidR="007874E8" w:rsidRPr="004C4F4C" w:rsidRDefault="007874E8" w:rsidP="007874E8">
      <w:pPr>
        <w:tabs>
          <w:tab w:val="left" w:pos="720"/>
          <w:tab w:val="left" w:pos="900"/>
        </w:tabs>
        <w:suppressAutoHyphens/>
        <w:spacing w:after="0" w:line="216" w:lineRule="auto"/>
        <w:ind w:left="0" w:firstLine="0"/>
        <w:jc w:val="left"/>
        <w:rPr>
          <w:rFonts w:cs="Tahoma"/>
          <w:color w:val="auto"/>
          <w:sz w:val="22"/>
          <w:lang w:eastAsia="zh-CN" w:bidi="hi-IN"/>
        </w:rPr>
      </w:pPr>
      <w:r w:rsidRPr="004C4F4C">
        <w:rPr>
          <w:rFonts w:cs="Tahoma"/>
          <w:b/>
          <w:szCs w:val="24"/>
          <w:lang w:eastAsia="zh-CN" w:bidi="hi-IN"/>
        </w:rPr>
        <w:t xml:space="preserve">Максимальное значение цены контракта: </w:t>
      </w:r>
      <w:r>
        <w:rPr>
          <w:rFonts w:cs="Tahoma"/>
          <w:b/>
          <w:szCs w:val="24"/>
          <w:lang w:eastAsia="zh-CN" w:bidi="hi-IN"/>
        </w:rPr>
        <w:t>7</w:t>
      </w:r>
      <w:r w:rsidRPr="004C4F4C">
        <w:rPr>
          <w:rFonts w:cs="Tahoma"/>
          <w:b/>
          <w:szCs w:val="24"/>
          <w:lang w:eastAsia="zh-CN" w:bidi="hi-IN"/>
        </w:rPr>
        <w:t> </w:t>
      </w:r>
      <w:r>
        <w:rPr>
          <w:rFonts w:cs="Tahoma"/>
          <w:b/>
          <w:szCs w:val="24"/>
          <w:lang w:eastAsia="zh-CN" w:bidi="hi-IN"/>
        </w:rPr>
        <w:t>522</w:t>
      </w:r>
      <w:r w:rsidRPr="004C4F4C">
        <w:rPr>
          <w:rFonts w:cs="Tahoma"/>
          <w:b/>
          <w:szCs w:val="24"/>
          <w:lang w:eastAsia="zh-CN" w:bidi="hi-IN"/>
        </w:rPr>
        <w:t> 000,00 руб.</w:t>
      </w:r>
    </w:p>
    <w:p w:rsidR="007874E8" w:rsidRPr="00E61425" w:rsidRDefault="007874E8" w:rsidP="007874E8">
      <w:pPr>
        <w:spacing w:after="51" w:line="192" w:lineRule="auto"/>
        <w:ind w:left="0" w:right="-114"/>
        <w:rPr>
          <w:szCs w:val="24"/>
        </w:rPr>
      </w:pPr>
      <w:r w:rsidRPr="00E61425">
        <w:rPr>
          <w:b/>
          <w:szCs w:val="24"/>
        </w:rPr>
        <w:t>Срок выполнения работ:</w:t>
      </w:r>
      <w:r w:rsidRPr="00E61425">
        <w:rPr>
          <w:szCs w:val="24"/>
        </w:rPr>
        <w:t xml:space="preserve"> со дня, следующего за днем заключения государственного контракта, и до «30» ноября 2025 года (включительно).</w:t>
      </w:r>
    </w:p>
    <w:p w:rsidR="007874E8" w:rsidRPr="00E61425" w:rsidRDefault="007874E8" w:rsidP="007874E8">
      <w:pPr>
        <w:spacing w:after="48" w:line="192" w:lineRule="auto"/>
        <w:ind w:left="0" w:right="-114"/>
        <w:rPr>
          <w:szCs w:val="24"/>
        </w:rPr>
      </w:pPr>
      <w:r w:rsidRPr="00E61425">
        <w:rPr>
          <w:b/>
          <w:szCs w:val="24"/>
        </w:rPr>
        <w:t>Сроки завершения работы:</w:t>
      </w:r>
      <w:r w:rsidRPr="00E61425">
        <w:rPr>
          <w:szCs w:val="24"/>
        </w:rPr>
        <w:t xml:space="preserve"> до «30» ноября 2025 года (включительно).</w:t>
      </w:r>
    </w:p>
    <w:p w:rsidR="007874E8" w:rsidRDefault="007874E8" w:rsidP="007874E8">
      <w:pPr>
        <w:spacing w:after="76" w:line="192" w:lineRule="auto"/>
        <w:ind w:left="0" w:right="-114"/>
        <w:jc w:val="left"/>
        <w:rPr>
          <w:szCs w:val="24"/>
        </w:rPr>
      </w:pPr>
      <w:r w:rsidRPr="00E61425">
        <w:rPr>
          <w:b/>
          <w:szCs w:val="24"/>
        </w:rPr>
        <w:t>Место выполнения работ</w:t>
      </w:r>
      <w:r w:rsidRPr="00E61425">
        <w:rPr>
          <w:szCs w:val="24"/>
        </w:rPr>
        <w:t>: Российская Федерация</w:t>
      </w:r>
      <w:r w:rsidR="00E47FFC">
        <w:rPr>
          <w:szCs w:val="24"/>
        </w:rPr>
        <w:t>.</w:t>
      </w:r>
    </w:p>
    <w:p w:rsidR="007874E8" w:rsidRPr="00E61425" w:rsidRDefault="007874E8" w:rsidP="007874E8">
      <w:pPr>
        <w:numPr>
          <w:ilvl w:val="0"/>
          <w:numId w:val="1"/>
        </w:numPr>
        <w:spacing w:after="49" w:line="192" w:lineRule="auto"/>
        <w:ind w:left="0" w:right="-114" w:firstLine="0"/>
        <w:rPr>
          <w:szCs w:val="24"/>
        </w:rPr>
      </w:pPr>
      <w:r w:rsidRPr="00E61425">
        <w:rPr>
          <w:szCs w:val="24"/>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7874E8" w:rsidRPr="00E61425" w:rsidRDefault="007874E8" w:rsidP="007874E8">
      <w:pPr>
        <w:numPr>
          <w:ilvl w:val="0"/>
          <w:numId w:val="1"/>
        </w:numPr>
        <w:spacing w:line="192" w:lineRule="auto"/>
        <w:ind w:left="0" w:right="-114" w:firstLine="0"/>
        <w:rPr>
          <w:szCs w:val="24"/>
        </w:rPr>
      </w:pPr>
      <w:r w:rsidRPr="00E61425">
        <w:rPr>
          <w:szCs w:val="24"/>
        </w:rPr>
        <w:t>Изделия должны отвечать следующим требованиям:</w:t>
      </w:r>
    </w:p>
    <w:tbl>
      <w:tblPr>
        <w:tblStyle w:val="TableGrid"/>
        <w:tblW w:w="10348" w:type="dxa"/>
        <w:tblInd w:w="-5" w:type="dxa"/>
        <w:tblLayout w:type="fixed"/>
        <w:tblCellMar>
          <w:top w:w="53" w:type="dxa"/>
          <w:left w:w="108" w:type="dxa"/>
          <w:right w:w="48" w:type="dxa"/>
        </w:tblCellMar>
        <w:tblLook w:val="04A0" w:firstRow="1" w:lastRow="0" w:firstColumn="1" w:lastColumn="0" w:noHBand="0" w:noVBand="1"/>
      </w:tblPr>
      <w:tblGrid>
        <w:gridCol w:w="636"/>
        <w:gridCol w:w="1593"/>
        <w:gridCol w:w="6049"/>
        <w:gridCol w:w="1274"/>
        <w:gridCol w:w="796"/>
      </w:tblGrid>
      <w:tr w:rsidR="007874E8" w:rsidRPr="002E2F23" w:rsidTr="00B56AF4">
        <w:trPr>
          <w:trHeight w:val="612"/>
        </w:trPr>
        <w:tc>
          <w:tcPr>
            <w:tcW w:w="636"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192" w:lineRule="auto"/>
              <w:ind w:left="71" w:firstLine="0"/>
              <w:rPr>
                <w:sz w:val="22"/>
              </w:rPr>
            </w:pPr>
            <w:r w:rsidRPr="002E2F23">
              <w:rPr>
                <w:sz w:val="22"/>
              </w:rPr>
              <w:t>№</w:t>
            </w:r>
          </w:p>
          <w:p w:rsidR="007874E8" w:rsidRPr="002E2F23" w:rsidRDefault="007874E8" w:rsidP="00B56AF4">
            <w:pPr>
              <w:spacing w:after="0" w:line="192" w:lineRule="auto"/>
              <w:ind w:left="27" w:firstLine="0"/>
              <w:jc w:val="left"/>
              <w:rPr>
                <w:sz w:val="22"/>
              </w:rPr>
            </w:pPr>
            <w:r w:rsidRPr="002E2F23">
              <w:rPr>
                <w:sz w:val="22"/>
              </w:rPr>
              <w:t>п/п</w:t>
            </w:r>
          </w:p>
        </w:tc>
        <w:tc>
          <w:tcPr>
            <w:tcW w:w="1593"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192" w:lineRule="auto"/>
              <w:ind w:left="0" w:firstLine="0"/>
              <w:jc w:val="left"/>
              <w:rPr>
                <w:sz w:val="22"/>
              </w:rPr>
            </w:pPr>
            <w:r w:rsidRPr="002E2F23">
              <w:rPr>
                <w:sz w:val="22"/>
              </w:rPr>
              <w:t xml:space="preserve">Наименование Изделия </w:t>
            </w:r>
          </w:p>
        </w:tc>
        <w:tc>
          <w:tcPr>
            <w:tcW w:w="6049"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192" w:lineRule="auto"/>
              <w:ind w:left="0" w:right="60" w:firstLine="0"/>
              <w:jc w:val="center"/>
              <w:rPr>
                <w:sz w:val="22"/>
              </w:rPr>
            </w:pPr>
            <w:r w:rsidRPr="002E2F23">
              <w:rPr>
                <w:sz w:val="22"/>
              </w:rPr>
              <w:t>Характеристика Изделия</w:t>
            </w:r>
          </w:p>
        </w:tc>
        <w:tc>
          <w:tcPr>
            <w:tcW w:w="1274"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192" w:lineRule="auto"/>
              <w:ind w:left="0" w:firstLine="0"/>
              <w:jc w:val="center"/>
              <w:rPr>
                <w:sz w:val="22"/>
              </w:rPr>
            </w:pPr>
            <w:proofErr w:type="spellStart"/>
            <w:r w:rsidRPr="002E2F23">
              <w:rPr>
                <w:sz w:val="22"/>
              </w:rPr>
              <w:t>Показательхарактеристики</w:t>
            </w:r>
            <w:proofErr w:type="spellEnd"/>
          </w:p>
        </w:tc>
        <w:tc>
          <w:tcPr>
            <w:tcW w:w="796"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192" w:lineRule="auto"/>
              <w:ind w:left="0" w:firstLine="0"/>
              <w:jc w:val="center"/>
              <w:rPr>
                <w:sz w:val="22"/>
              </w:rPr>
            </w:pPr>
            <w:r w:rsidRPr="002C080F">
              <w:rPr>
                <w:rFonts w:eastAsia="Calibri"/>
                <w:color w:val="auto"/>
                <w:sz w:val="22"/>
              </w:rPr>
              <w:t>Единица измерения</w:t>
            </w:r>
            <w:r w:rsidRPr="002E2F23">
              <w:rPr>
                <w:sz w:val="22"/>
              </w:rPr>
              <w:t xml:space="preserve"> </w:t>
            </w:r>
          </w:p>
        </w:tc>
      </w:tr>
      <w:tr w:rsidR="007874E8" w:rsidRPr="002E2F23" w:rsidTr="00B56AF4">
        <w:trPr>
          <w:trHeight w:val="1684"/>
        </w:trPr>
        <w:tc>
          <w:tcPr>
            <w:tcW w:w="636"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240" w:lineRule="auto"/>
              <w:ind w:left="0" w:right="60" w:firstLine="0"/>
              <w:jc w:val="center"/>
              <w:rPr>
                <w:sz w:val="22"/>
              </w:rPr>
            </w:pPr>
            <w:r w:rsidRPr="002E2F23">
              <w:rPr>
                <w:sz w:val="22"/>
              </w:rPr>
              <w:t>1</w:t>
            </w:r>
          </w:p>
        </w:tc>
        <w:tc>
          <w:tcPr>
            <w:tcW w:w="1593"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34" w:firstLine="0"/>
              <w:jc w:val="left"/>
              <w:rPr>
                <w:sz w:val="22"/>
              </w:rPr>
            </w:pPr>
            <w:r w:rsidRPr="00FA2FAC">
              <w:rPr>
                <w:sz w:val="22"/>
              </w:rPr>
              <w:t>Протез предплечья активный (тяговый)</w:t>
            </w:r>
          </w:p>
        </w:tc>
        <w:tc>
          <w:tcPr>
            <w:tcW w:w="6049"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0" w:right="91" w:firstLine="0"/>
              <w:rPr>
                <w:sz w:val="22"/>
              </w:rPr>
            </w:pPr>
            <w:r w:rsidRPr="00FA2FAC">
              <w:rPr>
                <w:sz w:val="22"/>
              </w:rPr>
              <w:t xml:space="preserve">Протез предплечья с тяговым управлением, активный, механический (тяговый), предназначен для обеспечения действий Получателей по самообслуживанию. Протез состоит из гильзы предплечья, узла запястья, кисти корпусной с гибкой тягой, с пружинным </w:t>
            </w:r>
            <w:proofErr w:type="spellStart"/>
            <w:r w:rsidRPr="00FA2FAC">
              <w:rPr>
                <w:sz w:val="22"/>
              </w:rPr>
              <w:t>схватом</w:t>
            </w:r>
            <w:proofErr w:type="spellEnd"/>
            <w:r w:rsidRPr="00FA2FAC">
              <w:rPr>
                <w:sz w:val="22"/>
              </w:rPr>
              <w:t>, фиксацией блока IV-V пальцев</w:t>
            </w:r>
            <w:r w:rsidRPr="00FA2FAC">
              <w:rPr>
                <w:color w:val="00B0F0"/>
                <w:sz w:val="22"/>
              </w:rPr>
              <w:t xml:space="preserve">. </w:t>
            </w:r>
            <w:r w:rsidRPr="00FA2FAC">
              <w:rPr>
                <w:sz w:val="22"/>
              </w:rPr>
              <w:t>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 несущая гильза из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7874E8" w:rsidRDefault="007874E8" w:rsidP="00B56AF4">
            <w:r w:rsidRPr="001810A1">
              <w:rPr>
                <w:sz w:val="22"/>
              </w:rPr>
              <w:t>шт.</w:t>
            </w:r>
          </w:p>
        </w:tc>
      </w:tr>
      <w:tr w:rsidR="007874E8" w:rsidRPr="002E2F23" w:rsidTr="00B56AF4">
        <w:trPr>
          <w:trHeight w:val="658"/>
        </w:trPr>
        <w:tc>
          <w:tcPr>
            <w:tcW w:w="636"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0" w:line="240" w:lineRule="auto"/>
              <w:ind w:left="0" w:right="60" w:firstLine="0"/>
              <w:jc w:val="center"/>
              <w:rPr>
                <w:sz w:val="22"/>
              </w:rPr>
            </w:pPr>
            <w:r w:rsidRPr="002E2F23">
              <w:rPr>
                <w:sz w:val="22"/>
              </w:rPr>
              <w:t>2</w:t>
            </w:r>
          </w:p>
        </w:tc>
        <w:tc>
          <w:tcPr>
            <w:tcW w:w="1593"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34" w:firstLine="0"/>
              <w:jc w:val="left"/>
              <w:rPr>
                <w:sz w:val="22"/>
              </w:rPr>
            </w:pPr>
            <w:r w:rsidRPr="00FA2FAC">
              <w:rPr>
                <w:sz w:val="22"/>
              </w:rPr>
              <w:t>Протез предплечья активный (тяговый)</w:t>
            </w:r>
          </w:p>
        </w:tc>
        <w:tc>
          <w:tcPr>
            <w:tcW w:w="6049"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0" w:right="91" w:firstLine="0"/>
              <w:rPr>
                <w:sz w:val="22"/>
              </w:rPr>
            </w:pPr>
            <w:r w:rsidRPr="00FA2FAC">
              <w:rPr>
                <w:sz w:val="22"/>
              </w:rPr>
              <w:t>Протез предплечья с тяговым управлением, активный, механический (тяговый), предназначен для обеспечения действий Получателей по самообслуживанию. Протез состоит из гильзы предплечья, узла запястья, кисти тяговой из пластмассы. Приемная пробная гильза по слепку из листового термопласта. Приемная постоянная индивидуальная одинарная гильза по слепку из листового термопласта,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7874E8" w:rsidRDefault="007874E8" w:rsidP="00B56AF4">
            <w:r w:rsidRPr="001810A1">
              <w:rPr>
                <w:sz w:val="22"/>
              </w:rPr>
              <w:t>шт.</w:t>
            </w:r>
          </w:p>
        </w:tc>
      </w:tr>
      <w:tr w:rsidR="007874E8" w:rsidRPr="002E2F23" w:rsidTr="00B56AF4">
        <w:trPr>
          <w:trHeight w:val="363"/>
        </w:trPr>
        <w:tc>
          <w:tcPr>
            <w:tcW w:w="636" w:type="dxa"/>
            <w:tcBorders>
              <w:top w:val="single" w:sz="4" w:space="0" w:color="000000"/>
              <w:left w:val="single" w:sz="4" w:space="0" w:color="000000"/>
              <w:bottom w:val="single" w:sz="4" w:space="0" w:color="000000"/>
              <w:right w:val="single" w:sz="4" w:space="0" w:color="000000"/>
            </w:tcBorders>
          </w:tcPr>
          <w:p w:rsidR="007874E8" w:rsidRPr="002E2F23" w:rsidRDefault="00621619" w:rsidP="00B56AF4">
            <w:pPr>
              <w:spacing w:after="0" w:line="240" w:lineRule="auto"/>
              <w:ind w:left="76" w:firstLine="0"/>
              <w:jc w:val="left"/>
              <w:rPr>
                <w:sz w:val="22"/>
              </w:rPr>
            </w:pPr>
            <w:r>
              <w:rPr>
                <w:sz w:val="22"/>
              </w:rPr>
              <w:t>3</w:t>
            </w:r>
          </w:p>
        </w:tc>
        <w:tc>
          <w:tcPr>
            <w:tcW w:w="1593"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34" w:firstLine="0"/>
              <w:jc w:val="left"/>
              <w:rPr>
                <w:sz w:val="22"/>
              </w:rPr>
            </w:pPr>
            <w:r w:rsidRPr="00FA2FAC">
              <w:rPr>
                <w:sz w:val="22"/>
              </w:rPr>
              <w:t xml:space="preserve">Протез предплечья 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7874E8" w:rsidRPr="00FA2FAC" w:rsidRDefault="007874E8" w:rsidP="00B56AF4">
            <w:pPr>
              <w:spacing w:after="0" w:line="192" w:lineRule="auto"/>
              <w:ind w:left="0" w:right="91" w:firstLine="0"/>
              <w:rPr>
                <w:sz w:val="22"/>
              </w:rPr>
            </w:pPr>
            <w:r w:rsidRPr="00F814F5">
              <w:rPr>
                <w:sz w:val="22"/>
              </w:rPr>
              <w:t xml:space="preserve">Протез предплечья косметический изготавливается по индивидуальному технологическому процессу. Пробная приемная гильза изготовлена из термопласта. Постоянная приемная гильза изготовлена из слоистого пластика на основе акриловых смол. Косметическая кисть изготовлена из ПВХ - </w:t>
            </w:r>
            <w:proofErr w:type="spellStart"/>
            <w:r w:rsidRPr="00F814F5">
              <w:rPr>
                <w:sz w:val="22"/>
              </w:rPr>
              <w:t>пластизоля</w:t>
            </w:r>
            <w:proofErr w:type="spellEnd"/>
            <w:r w:rsidRPr="00F814F5">
              <w:rPr>
                <w:sz w:val="22"/>
              </w:rPr>
              <w:t xml:space="preserve"> медицинского назначения. Протез по форме, цвету и структуре поверхности копирует здоровую руку человека.</w:t>
            </w:r>
            <w:r>
              <w:rPr>
                <w:sz w:val="22"/>
              </w:rPr>
              <w:t xml:space="preserve"> </w:t>
            </w:r>
            <w:r w:rsidRPr="00FA2FAC">
              <w:rPr>
                <w:sz w:val="22"/>
              </w:rPr>
              <w:t>Крепление протеза осуществляется манжетой на плечо. Материал крепления выполнен из хлопчатобумажной ткани.</w:t>
            </w:r>
          </w:p>
        </w:tc>
        <w:tc>
          <w:tcPr>
            <w:tcW w:w="1274" w:type="dxa"/>
            <w:tcBorders>
              <w:top w:val="single" w:sz="4" w:space="0" w:color="000000"/>
              <w:left w:val="single" w:sz="4" w:space="0" w:color="000000"/>
              <w:bottom w:val="single" w:sz="4" w:space="0" w:color="000000"/>
              <w:right w:val="single" w:sz="4" w:space="0" w:color="000000"/>
            </w:tcBorders>
          </w:tcPr>
          <w:p w:rsidR="007874E8" w:rsidRPr="002E2F23" w:rsidRDefault="007874E8" w:rsidP="00B56AF4">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7874E8" w:rsidRDefault="007874E8" w:rsidP="00B56AF4">
            <w:r w:rsidRPr="001810A1">
              <w:rPr>
                <w:sz w:val="22"/>
              </w:rPr>
              <w:t>шт.</w:t>
            </w:r>
          </w:p>
        </w:tc>
      </w:tr>
      <w:tr w:rsidR="00621619" w:rsidRPr="002E2F23" w:rsidTr="00B56AF4">
        <w:trPr>
          <w:trHeight w:val="1509"/>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Pr>
                <w:sz w:val="22"/>
              </w:rPr>
              <w:t>4</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rPr>
                <w:sz w:val="22"/>
              </w:rPr>
            </w:pPr>
            <w:r w:rsidRPr="00FA2FAC">
              <w:rPr>
                <w:sz w:val="22"/>
              </w:rPr>
              <w:t xml:space="preserve">Протез предплечья 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 xml:space="preserve">Протез предплечья косметический, предназначен для восполнения эстетических параметров на уровне предплечья. Протез состоит из гильзы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гильза по слепку из слоистого пластика на основе связующих смол. Вкладной элемент: чехол полимерный </w:t>
            </w:r>
            <w:proofErr w:type="spellStart"/>
            <w:r w:rsidRPr="00FA2FAC">
              <w:rPr>
                <w:sz w:val="22"/>
              </w:rPr>
              <w:t>гелевый</w:t>
            </w:r>
            <w:proofErr w:type="spellEnd"/>
            <w:r w:rsidRPr="00FA2FAC">
              <w:rPr>
                <w:sz w:val="22"/>
              </w:rPr>
              <w:t>. Крепление с использованием замка для полимерных чехлов.</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1509"/>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lastRenderedPageBreak/>
              <w:t>5</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rPr>
                <w:sz w:val="22"/>
              </w:rPr>
            </w:pPr>
            <w:r w:rsidRPr="00FA2FAC">
              <w:rPr>
                <w:sz w:val="22"/>
              </w:rPr>
              <w:t xml:space="preserve">Протез предплечья 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Протез предплечья косметический, предназначен для восполнения утраченных эстетических параметров на уровне предплечья. Протез состоит из гильзы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 несущая гильза из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1684"/>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6</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rPr>
                <w:sz w:val="22"/>
              </w:rPr>
            </w:pPr>
            <w:r w:rsidRPr="00FA2FAC">
              <w:rPr>
                <w:sz w:val="22"/>
              </w:rPr>
              <w:t xml:space="preserve">Протез </w:t>
            </w:r>
            <w:r>
              <w:rPr>
                <w:sz w:val="22"/>
              </w:rPr>
              <w:t xml:space="preserve">предплечья </w:t>
            </w:r>
            <w:r w:rsidRPr="00FA2FAC">
              <w:rPr>
                <w:sz w:val="22"/>
              </w:rPr>
              <w:t xml:space="preserve">косметический </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Протез предплечья косметический, предназначен для восполнения утраченных эстетических параметров на уровне предплечья. Протез состоит из гильзы предплечья, узла запястья, косметической кисти из поливинилхлорида. Приемная пробная гильза по слепку из листового термопласта. Приемная постоянная гильза индивидуальная одинарная по слепку из листового термопласта,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800"/>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7</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jc w:val="left"/>
              <w:rPr>
                <w:sz w:val="22"/>
              </w:rPr>
            </w:pPr>
            <w:r w:rsidRPr="00FA2FAC">
              <w:rPr>
                <w:sz w:val="22"/>
              </w:rPr>
              <w:t>Протез плеча косметический</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38" w:line="192" w:lineRule="auto"/>
              <w:ind w:left="0" w:right="91"/>
              <w:rPr>
                <w:sz w:val="22"/>
              </w:rPr>
            </w:pPr>
            <w:r w:rsidRPr="00FA2FAC">
              <w:rPr>
                <w:sz w:val="22"/>
              </w:rPr>
              <w:t>Протез плеча косметический.</w:t>
            </w:r>
            <w:r>
              <w:rPr>
                <w:sz w:val="22"/>
              </w:rPr>
              <w:t xml:space="preserve"> </w:t>
            </w:r>
            <w:r w:rsidRPr="00FA2FAC">
              <w:rPr>
                <w:sz w:val="22"/>
              </w:rPr>
              <w:t xml:space="preserve">Протез плеча косметический, предназначен для восполнения утраченных эстетических параметров на уровне плеча. Протез состоит из гильзы плеча, узла локоть - предплечье </w:t>
            </w:r>
            <w:proofErr w:type="spellStart"/>
            <w:r w:rsidRPr="00FA2FAC">
              <w:rPr>
                <w:sz w:val="22"/>
              </w:rPr>
              <w:t>эндоскелетного</w:t>
            </w:r>
            <w:proofErr w:type="spellEnd"/>
            <w:r w:rsidRPr="00FA2FAC">
              <w:rPr>
                <w:sz w:val="22"/>
              </w:rPr>
              <w:t xml:space="preserve"> типа пассивного со ступенчатой фиксацией, с пассивной ротацией плеча и предплечья, узла запястья, косметической кисти из поливинилхлорида. Приемная пробная гильза по слепку из листового термопласта. Приемная постоянная гильза индивидуальная одинарная по слепку из листового термопласта,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942"/>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8</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jc w:val="left"/>
              <w:rPr>
                <w:sz w:val="22"/>
              </w:rPr>
            </w:pPr>
            <w:r w:rsidRPr="00FA2FAC">
              <w:rPr>
                <w:sz w:val="22"/>
              </w:rPr>
              <w:t>Протез плеча косметический</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29" w:line="192" w:lineRule="auto"/>
              <w:ind w:left="0" w:right="91" w:firstLine="0"/>
              <w:rPr>
                <w:sz w:val="22"/>
              </w:rPr>
            </w:pPr>
            <w:r w:rsidRPr="00FA2FAC">
              <w:rPr>
                <w:sz w:val="22"/>
              </w:rPr>
              <w:t xml:space="preserve">Протез плеча косметический, предназначен для восполнения утраченных эстетических параметров на уровне плеча. Протез состоит из гильзы плеча, узла локоть - предплечье </w:t>
            </w:r>
            <w:proofErr w:type="spellStart"/>
            <w:r w:rsidRPr="00FA2FAC">
              <w:rPr>
                <w:sz w:val="22"/>
              </w:rPr>
              <w:t>эндоскелетного</w:t>
            </w:r>
            <w:proofErr w:type="spellEnd"/>
            <w:r w:rsidRPr="00FA2FAC">
              <w:rPr>
                <w:sz w:val="22"/>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 несущая гильза из слоистого пластика на основе связующих смол.</w:t>
            </w:r>
            <w:r>
              <w:rPr>
                <w:sz w:val="22"/>
              </w:rPr>
              <w:t xml:space="preserve"> </w:t>
            </w:r>
            <w:r w:rsidRPr="00FA2FAC">
              <w:rPr>
                <w:sz w:val="22"/>
              </w:rPr>
              <w:t>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942"/>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9</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jc w:val="left"/>
              <w:rPr>
                <w:sz w:val="22"/>
              </w:rPr>
            </w:pPr>
            <w:r w:rsidRPr="00FA2FAC">
              <w:rPr>
                <w:sz w:val="22"/>
              </w:rPr>
              <w:t>Протез плеча активный (тяговый)</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 xml:space="preserve">Протез плеча с тяговым управлением, активный, механический (тяговый), предназначен для обеспечения действий </w:t>
            </w:r>
            <w:r>
              <w:rPr>
                <w:sz w:val="22"/>
              </w:rPr>
              <w:t>П</w:t>
            </w:r>
            <w:r w:rsidRPr="00FA2FAC">
              <w:rPr>
                <w:sz w:val="22"/>
              </w:rPr>
              <w:t xml:space="preserve">олучателей по самообслуживанию. Протез состоит из гильзы плеча, узла локоть-предплечье </w:t>
            </w:r>
            <w:proofErr w:type="spellStart"/>
            <w:r w:rsidRPr="00FA2FAC">
              <w:rPr>
                <w:sz w:val="22"/>
              </w:rPr>
              <w:t>экзоскелетного</w:t>
            </w:r>
            <w:proofErr w:type="spellEnd"/>
            <w:r w:rsidRPr="00FA2FAC">
              <w:rPr>
                <w:sz w:val="22"/>
              </w:rPr>
              <w:t xml:space="preserve"> типа активного, с бесступенчатой фиксацией и пассивной ротацией плеча, узла запястья, кисти каркасной с гибкой тягой с пружинным </w:t>
            </w:r>
            <w:proofErr w:type="spellStart"/>
            <w:r w:rsidRPr="00FA2FAC">
              <w:rPr>
                <w:sz w:val="22"/>
              </w:rPr>
              <w:t>схватом</w:t>
            </w:r>
            <w:proofErr w:type="spellEnd"/>
            <w:r w:rsidRPr="00FA2FAC">
              <w:rPr>
                <w:sz w:val="22"/>
              </w:rPr>
              <w:t xml:space="preserve"> и косметической оболочки из поливинилхлорида. Приемная пробная гильза по слепку из листового термопласта. Приемная постоянная индивидуальная одинарная гильза по слепку из листового термопласта,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516"/>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10</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jc w:val="left"/>
              <w:rPr>
                <w:sz w:val="22"/>
              </w:rPr>
            </w:pPr>
            <w:r w:rsidRPr="00FA2FAC">
              <w:rPr>
                <w:sz w:val="22"/>
              </w:rPr>
              <w:t>Протез плеча рабочий</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 xml:space="preserve">Протез плеча рабочий, предназначен для людей с ограничениями жизнедеятельности, имеющие ампутационные, врожденные дефекты на уровне плеча. Протез состоит из гильзы плеча комплекта полуфабрикатов для рабочего протеза, набора насадок в количестве не менее 5 штук (по выбору </w:t>
            </w:r>
            <w:r>
              <w:rPr>
                <w:sz w:val="22"/>
              </w:rPr>
              <w:t>П</w:t>
            </w:r>
            <w:r w:rsidRPr="00FA2FAC">
              <w:rPr>
                <w:sz w:val="22"/>
              </w:rPr>
              <w:t>олучателя) и насадки - кисть косметическая. Приемная пробная гильза по слепку из листового термопласта. Постоянная приемная индивидуальная одинарная гильза по слепку из листового термопласта, литьевого слоистого пластика на основе связующих смол.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r w:rsidR="00621619" w:rsidRPr="002E2F23" w:rsidTr="00B56AF4">
        <w:trPr>
          <w:trHeight w:val="658"/>
        </w:trPr>
        <w:tc>
          <w:tcPr>
            <w:tcW w:w="636"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0" w:line="240" w:lineRule="auto"/>
              <w:ind w:left="76" w:firstLine="0"/>
              <w:jc w:val="left"/>
              <w:rPr>
                <w:sz w:val="22"/>
              </w:rPr>
            </w:pPr>
            <w:r w:rsidRPr="002E2F23">
              <w:rPr>
                <w:sz w:val="22"/>
              </w:rPr>
              <w:t>11</w:t>
            </w:r>
          </w:p>
        </w:tc>
        <w:tc>
          <w:tcPr>
            <w:tcW w:w="1593"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34" w:firstLine="0"/>
              <w:jc w:val="left"/>
              <w:rPr>
                <w:sz w:val="22"/>
              </w:rPr>
            </w:pPr>
            <w:r w:rsidRPr="00FA2FAC">
              <w:rPr>
                <w:sz w:val="22"/>
              </w:rPr>
              <w:t>Протез плеча рабочий</w:t>
            </w:r>
          </w:p>
        </w:tc>
        <w:tc>
          <w:tcPr>
            <w:tcW w:w="6049" w:type="dxa"/>
            <w:tcBorders>
              <w:top w:val="single" w:sz="4" w:space="0" w:color="000000"/>
              <w:left w:val="single" w:sz="4" w:space="0" w:color="000000"/>
              <w:bottom w:val="single" w:sz="4" w:space="0" w:color="000000"/>
              <w:right w:val="single" w:sz="4" w:space="0" w:color="000000"/>
            </w:tcBorders>
          </w:tcPr>
          <w:p w:rsidR="00621619" w:rsidRPr="00FA2FAC" w:rsidRDefault="00621619" w:rsidP="00621619">
            <w:pPr>
              <w:spacing w:after="0" w:line="192" w:lineRule="auto"/>
              <w:ind w:left="0" w:right="91" w:firstLine="0"/>
              <w:rPr>
                <w:sz w:val="22"/>
              </w:rPr>
            </w:pPr>
            <w:r w:rsidRPr="00FA2FAC">
              <w:rPr>
                <w:sz w:val="22"/>
              </w:rPr>
              <w:t xml:space="preserve">Протез плеча рабочий, предназначен для </w:t>
            </w:r>
            <w:r>
              <w:rPr>
                <w:sz w:val="22"/>
              </w:rPr>
              <w:t>П</w:t>
            </w:r>
            <w:r w:rsidRPr="00FA2FAC">
              <w:rPr>
                <w:sz w:val="22"/>
              </w:rPr>
              <w:t xml:space="preserve">олучателей с ограничениями жизнедеятельности, имеющие ампутационные или врожденные дефекты на уровне плеча. Протез состоит из гильзы плеча комплекта полуфабрикатов </w:t>
            </w:r>
            <w:r w:rsidRPr="00FA2FAC">
              <w:rPr>
                <w:sz w:val="22"/>
              </w:rPr>
              <w:lastRenderedPageBreak/>
              <w:t>для рабочего протеза, набора насадок в количестве не менее 5 штук и насадки – кисть косметическая. Приемная постоянная гильза по слепку из листового термопласта. Крепление индивидуальное.</w:t>
            </w:r>
          </w:p>
        </w:tc>
        <w:tc>
          <w:tcPr>
            <w:tcW w:w="1274" w:type="dxa"/>
            <w:tcBorders>
              <w:top w:val="single" w:sz="4" w:space="0" w:color="000000"/>
              <w:left w:val="single" w:sz="4" w:space="0" w:color="000000"/>
              <w:bottom w:val="single" w:sz="4" w:space="0" w:color="000000"/>
              <w:right w:val="single" w:sz="4" w:space="0" w:color="000000"/>
            </w:tcBorders>
          </w:tcPr>
          <w:p w:rsidR="00621619" w:rsidRPr="002E2F23" w:rsidRDefault="00621619" w:rsidP="00621619">
            <w:pPr>
              <w:spacing w:after="160" w:line="259" w:lineRule="auto"/>
              <w:ind w:left="0" w:firstLine="0"/>
              <w:jc w:val="center"/>
              <w:rPr>
                <w:sz w:val="22"/>
              </w:rPr>
            </w:pPr>
            <w:r w:rsidRPr="002E2F23">
              <w:rPr>
                <w:sz w:val="22"/>
              </w:rPr>
              <w:lastRenderedPageBreak/>
              <w:t>наличие</w:t>
            </w:r>
          </w:p>
        </w:tc>
        <w:tc>
          <w:tcPr>
            <w:tcW w:w="796" w:type="dxa"/>
            <w:tcBorders>
              <w:top w:val="single" w:sz="4" w:space="0" w:color="000000"/>
              <w:left w:val="single" w:sz="4" w:space="0" w:color="000000"/>
              <w:bottom w:val="single" w:sz="4" w:space="0" w:color="000000"/>
              <w:right w:val="single" w:sz="4" w:space="0" w:color="000000"/>
            </w:tcBorders>
          </w:tcPr>
          <w:p w:rsidR="00621619" w:rsidRDefault="00621619" w:rsidP="00621619">
            <w:r w:rsidRPr="001810A1">
              <w:rPr>
                <w:sz w:val="22"/>
              </w:rPr>
              <w:t>шт.</w:t>
            </w:r>
          </w:p>
        </w:tc>
      </w:tr>
    </w:tbl>
    <w:p w:rsidR="007874E8" w:rsidRPr="00DB37EA" w:rsidRDefault="007874E8" w:rsidP="007874E8">
      <w:pPr>
        <w:spacing w:after="0" w:line="240" w:lineRule="auto"/>
        <w:ind w:left="0" w:firstLine="0"/>
        <w:jc w:val="left"/>
        <w:rPr>
          <w:b/>
          <w:szCs w:val="24"/>
        </w:rPr>
      </w:pPr>
    </w:p>
    <w:p w:rsidR="007874E8" w:rsidRPr="009A62ED" w:rsidRDefault="007874E8" w:rsidP="007874E8">
      <w:pPr>
        <w:spacing w:after="0" w:line="240" w:lineRule="auto"/>
        <w:ind w:left="0" w:firstLine="0"/>
        <w:jc w:val="left"/>
        <w:rPr>
          <w:szCs w:val="24"/>
        </w:rPr>
      </w:pPr>
      <w:r w:rsidRPr="009A62ED">
        <w:rPr>
          <w:b/>
          <w:szCs w:val="24"/>
        </w:rPr>
        <w:t>Обоснование включения дополнительной информации в сведения о товаре, работе, услуге:</w:t>
      </w:r>
    </w:p>
    <w:p w:rsidR="007874E8" w:rsidRPr="009A62ED" w:rsidRDefault="007874E8" w:rsidP="007874E8">
      <w:pPr>
        <w:numPr>
          <w:ilvl w:val="0"/>
          <w:numId w:val="2"/>
        </w:numPr>
        <w:spacing w:after="0" w:line="240" w:lineRule="auto"/>
        <w:ind w:firstLine="0"/>
        <w:rPr>
          <w:szCs w:val="24"/>
        </w:rPr>
      </w:pPr>
      <w:r w:rsidRPr="009A62ED">
        <w:rPr>
          <w:szCs w:val="24"/>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7874E8" w:rsidRPr="009A62ED" w:rsidRDefault="007874E8" w:rsidP="007874E8">
      <w:pPr>
        <w:spacing w:after="0" w:line="240" w:lineRule="auto"/>
        <w:ind w:left="0" w:firstLine="0"/>
        <w:rPr>
          <w:szCs w:val="24"/>
        </w:rPr>
      </w:pPr>
      <w:r w:rsidRPr="009A62ED">
        <w:rPr>
          <w:szCs w:val="24"/>
        </w:rPr>
        <w:t>2.1. Качественные характеристики Изделий.</w:t>
      </w:r>
    </w:p>
    <w:p w:rsidR="007874E8" w:rsidRPr="009A62ED" w:rsidRDefault="007874E8" w:rsidP="007874E8">
      <w:pPr>
        <w:numPr>
          <w:ilvl w:val="2"/>
          <w:numId w:val="3"/>
        </w:numPr>
        <w:spacing w:after="0" w:line="240" w:lineRule="auto"/>
        <w:ind w:left="0" w:firstLine="0"/>
        <w:rPr>
          <w:szCs w:val="24"/>
        </w:rPr>
      </w:pPr>
      <w:r w:rsidRPr="009A62ED">
        <w:rPr>
          <w:szCs w:val="24"/>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7874E8" w:rsidRPr="009A62ED" w:rsidRDefault="007874E8" w:rsidP="007874E8">
      <w:pPr>
        <w:numPr>
          <w:ilvl w:val="2"/>
          <w:numId w:val="3"/>
        </w:numPr>
        <w:spacing w:after="0" w:line="240" w:lineRule="auto"/>
        <w:ind w:left="0" w:firstLine="0"/>
        <w:rPr>
          <w:szCs w:val="24"/>
        </w:rPr>
      </w:pPr>
      <w:r w:rsidRPr="009A62ED">
        <w:rPr>
          <w:szCs w:val="24"/>
        </w:rPr>
        <w:t xml:space="preserve">Изделия должны соответствовать требованиям государственных стандартов (ГОСТ), действующих на территории Российской Федерации: </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w:t>
      </w:r>
      <w:r w:rsidRPr="00DB37EA">
        <w:rPr>
          <w:szCs w:val="24"/>
        </w:rPr>
        <w:t xml:space="preserve"> ISO 10993-1-2021 «</w:t>
      </w:r>
      <w:r w:rsidRPr="009A62ED">
        <w:rPr>
          <w:szCs w:val="24"/>
        </w:rPr>
        <w:t xml:space="preserve">Изделия медицинские. Оценка биологического действия медицинских изделий. Часть 1. Оценка и исследования в процессе менеджмента </w:t>
      </w:r>
      <w:r w:rsidRPr="00DB37EA">
        <w:rPr>
          <w:szCs w:val="24"/>
        </w:rPr>
        <w:t>риска»</w:t>
      </w:r>
      <w:r w:rsidRPr="009A62ED">
        <w:rPr>
          <w:szCs w:val="24"/>
        </w:rPr>
        <w:t>;</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 ISO 10993-5-2023</w:t>
      </w:r>
      <w:r w:rsidRPr="00DB37EA">
        <w:rPr>
          <w:szCs w:val="24"/>
        </w:rPr>
        <w:t xml:space="preserve"> «</w:t>
      </w:r>
      <w:r w:rsidRPr="009A62ED">
        <w:rPr>
          <w:szCs w:val="24"/>
        </w:rPr>
        <w:t xml:space="preserve">Изделия медицинские. Оценка биологического действия медицинских изделий. Часть 5. Исследования на </w:t>
      </w:r>
      <w:proofErr w:type="spellStart"/>
      <w:r w:rsidRPr="009A62ED">
        <w:rPr>
          <w:szCs w:val="24"/>
        </w:rPr>
        <w:t>цитотоксичность</w:t>
      </w:r>
      <w:proofErr w:type="spellEnd"/>
      <w:r w:rsidRPr="009A62ED">
        <w:rPr>
          <w:szCs w:val="24"/>
        </w:rPr>
        <w:t xml:space="preserve"> методами</w:t>
      </w:r>
      <w:r w:rsidRPr="00DB37EA">
        <w:rPr>
          <w:szCs w:val="24"/>
        </w:rPr>
        <w:t xml:space="preserve"> </w:t>
      </w:r>
      <w:proofErr w:type="spellStart"/>
      <w:r w:rsidRPr="00DB37EA">
        <w:rPr>
          <w:szCs w:val="24"/>
        </w:rPr>
        <w:t>in</w:t>
      </w:r>
      <w:proofErr w:type="spellEnd"/>
      <w:r w:rsidRPr="00DB37EA">
        <w:rPr>
          <w:szCs w:val="24"/>
        </w:rPr>
        <w:t xml:space="preserve"> </w:t>
      </w:r>
      <w:proofErr w:type="spellStart"/>
      <w:r w:rsidRPr="00DB37EA">
        <w:rPr>
          <w:szCs w:val="24"/>
        </w:rPr>
        <w:t>vitro</w:t>
      </w:r>
      <w:proofErr w:type="spellEnd"/>
      <w:r w:rsidRPr="00DB37EA">
        <w:rPr>
          <w:szCs w:val="24"/>
        </w:rPr>
        <w:t>»</w:t>
      </w:r>
      <w:r w:rsidRPr="009A62ED">
        <w:rPr>
          <w:szCs w:val="24"/>
        </w:rPr>
        <w:t>;</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 ISO 10993-10-2023</w:t>
      </w:r>
      <w:r w:rsidRPr="00DB37EA">
        <w:rPr>
          <w:szCs w:val="24"/>
        </w:rPr>
        <w:t xml:space="preserve"> «</w:t>
      </w:r>
      <w:r w:rsidRPr="009A62ED">
        <w:rPr>
          <w:szCs w:val="24"/>
        </w:rPr>
        <w:t xml:space="preserve">Изделия медицинские. Оценка биологического действия медицинских изделий. Часть 10. Исследования сенсибилизирующего </w:t>
      </w:r>
      <w:r w:rsidRPr="00DB37EA">
        <w:rPr>
          <w:szCs w:val="24"/>
        </w:rPr>
        <w:t>действия»</w:t>
      </w:r>
      <w:r w:rsidRPr="009A62ED">
        <w:rPr>
          <w:szCs w:val="24"/>
        </w:rPr>
        <w:t>;</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 Р</w:t>
      </w:r>
      <w:r w:rsidRPr="00DB37EA">
        <w:rPr>
          <w:szCs w:val="24"/>
        </w:rPr>
        <w:t xml:space="preserve"> 52770</w:t>
      </w:r>
      <w:r>
        <w:rPr>
          <w:szCs w:val="24"/>
        </w:rPr>
        <w:t>-2023</w:t>
      </w:r>
      <w:r w:rsidRPr="00DB37EA">
        <w:rPr>
          <w:szCs w:val="24"/>
        </w:rPr>
        <w:t xml:space="preserve"> «</w:t>
      </w:r>
      <w:r w:rsidRPr="009A62ED">
        <w:rPr>
          <w:szCs w:val="24"/>
        </w:rPr>
        <w:t xml:space="preserve">Изделия медицинские. Система оценки биологического действия. Общие требования </w:t>
      </w:r>
      <w:r w:rsidRPr="00DB37EA">
        <w:rPr>
          <w:szCs w:val="24"/>
        </w:rPr>
        <w:t>безопасности»</w:t>
      </w:r>
      <w:r w:rsidRPr="009A62ED">
        <w:rPr>
          <w:szCs w:val="24"/>
        </w:rPr>
        <w:t>;</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 Р 51632-2021</w:t>
      </w:r>
      <w:r w:rsidRPr="00DB37EA">
        <w:rPr>
          <w:szCs w:val="24"/>
        </w:rPr>
        <w:t xml:space="preserve"> «</w:t>
      </w:r>
      <w:r w:rsidRPr="009A62ED">
        <w:rPr>
          <w:szCs w:val="24"/>
        </w:rPr>
        <w:t xml:space="preserve">Технические средства реабилитации людей с ограничениями жизнедеятельности. Общие технические требования и методы </w:t>
      </w:r>
      <w:r w:rsidRPr="00DB37EA">
        <w:rPr>
          <w:szCs w:val="24"/>
        </w:rPr>
        <w:t>испытаний»</w:t>
      </w:r>
      <w:r w:rsidRPr="009A62ED">
        <w:rPr>
          <w:szCs w:val="24"/>
        </w:rPr>
        <w:t>;</w:t>
      </w:r>
    </w:p>
    <w:p w:rsidR="007874E8" w:rsidRPr="009A62ED" w:rsidRDefault="007874E8" w:rsidP="007874E8">
      <w:pPr>
        <w:spacing w:after="0" w:line="240" w:lineRule="auto"/>
        <w:ind w:left="0" w:firstLine="0"/>
        <w:rPr>
          <w:szCs w:val="24"/>
        </w:rPr>
      </w:pPr>
      <w:r w:rsidRPr="00DB37EA">
        <w:rPr>
          <w:szCs w:val="24"/>
        </w:rPr>
        <w:t xml:space="preserve">- </w:t>
      </w:r>
      <w:r w:rsidRPr="009A62ED">
        <w:rPr>
          <w:szCs w:val="24"/>
        </w:rPr>
        <w:t>ГОСТ Р</w:t>
      </w:r>
      <w:r w:rsidRPr="009A62ED">
        <w:rPr>
          <w:rFonts w:eastAsia="Calibri"/>
          <w:szCs w:val="24"/>
        </w:rPr>
        <w:t xml:space="preserve"> 51819-2022 «Протезирование и </w:t>
      </w:r>
      <w:proofErr w:type="spellStart"/>
      <w:r w:rsidRPr="009A62ED">
        <w:rPr>
          <w:rFonts w:eastAsia="Calibri"/>
          <w:szCs w:val="24"/>
        </w:rPr>
        <w:t>ортезирование</w:t>
      </w:r>
      <w:proofErr w:type="spellEnd"/>
      <w:r w:rsidRPr="009A62ED">
        <w:rPr>
          <w:rFonts w:eastAsia="Calibri"/>
          <w:szCs w:val="24"/>
        </w:rPr>
        <w:t xml:space="preserve"> верхних и нижних конечностей</w:t>
      </w:r>
      <w:r w:rsidRPr="00DB37EA">
        <w:rPr>
          <w:rFonts w:eastAsia="Calibri"/>
          <w:szCs w:val="24"/>
        </w:rPr>
        <w:t>. Термины и определения.</w:t>
      </w:r>
      <w:r w:rsidRPr="009A62ED">
        <w:rPr>
          <w:rFonts w:eastAsia="Calibri"/>
          <w:szCs w:val="24"/>
        </w:rPr>
        <w:t>»;</w:t>
      </w:r>
    </w:p>
    <w:p w:rsidR="007874E8" w:rsidRPr="009A62ED" w:rsidRDefault="007874E8" w:rsidP="007874E8">
      <w:pPr>
        <w:spacing w:after="0" w:line="240" w:lineRule="auto"/>
        <w:ind w:left="0" w:firstLine="0"/>
        <w:jc w:val="left"/>
        <w:rPr>
          <w:szCs w:val="24"/>
        </w:rPr>
      </w:pPr>
      <w:r w:rsidRPr="009A62ED">
        <w:rPr>
          <w:rFonts w:eastAsia="Calibri"/>
          <w:szCs w:val="24"/>
        </w:rPr>
        <w:t>-</w:t>
      </w:r>
      <w:r w:rsidRPr="00DB37EA">
        <w:rPr>
          <w:szCs w:val="24"/>
        </w:rPr>
        <w:t xml:space="preserve"> </w:t>
      </w:r>
      <w:r w:rsidRPr="009A62ED">
        <w:rPr>
          <w:szCs w:val="24"/>
        </w:rPr>
        <w:t xml:space="preserve">ГОСТ Р </w:t>
      </w:r>
      <w:r w:rsidRPr="009A62ED">
        <w:rPr>
          <w:rFonts w:eastAsia="Calibri"/>
          <w:szCs w:val="24"/>
        </w:rPr>
        <w:t>56138-2021 «Протезы верхних конечностей. Технические требования».</w:t>
      </w:r>
    </w:p>
    <w:p w:rsidR="007874E8" w:rsidRPr="009A62ED" w:rsidRDefault="007874E8" w:rsidP="007874E8">
      <w:pPr>
        <w:spacing w:after="0" w:line="240" w:lineRule="auto"/>
        <w:ind w:left="0" w:firstLine="0"/>
        <w:rPr>
          <w:szCs w:val="24"/>
        </w:rPr>
      </w:pPr>
      <w:r w:rsidRPr="009A62ED">
        <w:rPr>
          <w:szCs w:val="24"/>
        </w:rPr>
        <w:t>Маркировка протезов, а также их упаковка осуществляется с соблюдением требований ГОСТ Р ИСО 22523-2007</w:t>
      </w:r>
      <w:r w:rsidRPr="00DB37EA">
        <w:rPr>
          <w:szCs w:val="24"/>
        </w:rPr>
        <w:t xml:space="preserve"> «</w:t>
      </w:r>
      <w:r w:rsidRPr="009A62ED">
        <w:rPr>
          <w:szCs w:val="24"/>
        </w:rPr>
        <w:t xml:space="preserve">Протезы конечностей и </w:t>
      </w:r>
      <w:proofErr w:type="spellStart"/>
      <w:r w:rsidRPr="009A62ED">
        <w:rPr>
          <w:szCs w:val="24"/>
        </w:rPr>
        <w:t>ортезы</w:t>
      </w:r>
      <w:proofErr w:type="spellEnd"/>
      <w:r w:rsidRPr="009A62ED">
        <w:rPr>
          <w:szCs w:val="24"/>
        </w:rPr>
        <w:t xml:space="preserve"> наружные. Требования и методы </w:t>
      </w:r>
      <w:r w:rsidRPr="00DB37EA">
        <w:rPr>
          <w:szCs w:val="24"/>
        </w:rPr>
        <w:t>испытаний».</w:t>
      </w:r>
    </w:p>
    <w:p w:rsidR="007874E8" w:rsidRPr="009A62ED" w:rsidRDefault="007874E8" w:rsidP="007874E8">
      <w:pPr>
        <w:numPr>
          <w:ilvl w:val="1"/>
          <w:numId w:val="4"/>
        </w:numPr>
        <w:spacing w:after="0" w:line="240" w:lineRule="auto"/>
        <w:ind w:left="0" w:firstLine="0"/>
        <w:rPr>
          <w:szCs w:val="24"/>
        </w:rPr>
      </w:pPr>
      <w:r w:rsidRPr="009A62ED">
        <w:rPr>
          <w:szCs w:val="24"/>
        </w:rPr>
        <w:t xml:space="preserve">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7874E8" w:rsidRPr="009A62ED" w:rsidRDefault="007874E8" w:rsidP="007874E8">
      <w:pPr>
        <w:numPr>
          <w:ilvl w:val="1"/>
          <w:numId w:val="4"/>
        </w:numPr>
        <w:spacing w:after="0" w:line="240" w:lineRule="auto"/>
        <w:ind w:left="0" w:firstLine="0"/>
        <w:rPr>
          <w:szCs w:val="24"/>
        </w:rPr>
      </w:pPr>
      <w:r w:rsidRPr="009A62ED">
        <w:rPr>
          <w:szCs w:val="24"/>
        </w:rPr>
        <w:t xml:space="preserve">Упаковка Изделия должна обеспечивать его защиту от повреждений, </w:t>
      </w:r>
      <w:r w:rsidRPr="00DB37EA">
        <w:rPr>
          <w:szCs w:val="24"/>
        </w:rPr>
        <w:t>порчи (изнашивания)</w:t>
      </w:r>
      <w:r w:rsidRPr="009A62ED">
        <w:rPr>
          <w:szCs w:val="24"/>
        </w:rPr>
        <w:t xml:space="preserve">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7874E8" w:rsidRPr="009A62ED" w:rsidRDefault="007874E8" w:rsidP="007874E8">
      <w:pPr>
        <w:spacing w:after="0" w:line="240" w:lineRule="auto"/>
        <w:ind w:left="0" w:firstLine="0"/>
        <w:rPr>
          <w:szCs w:val="24"/>
        </w:rPr>
      </w:pPr>
      <w:r w:rsidRPr="009A62ED">
        <w:rPr>
          <w:szCs w:val="24"/>
        </w:rPr>
        <w:t>2.4</w:t>
      </w:r>
      <w:r w:rsidRPr="00DB37EA">
        <w:rPr>
          <w:szCs w:val="24"/>
        </w:rPr>
        <w:t>.</w:t>
      </w:r>
      <w:r w:rsidRPr="009A62ED">
        <w:rPr>
          <w:szCs w:val="24"/>
        </w:rPr>
        <w:t xml:space="preserve"> Гарантийный срок на Изделия составляет не менее 12 </w:t>
      </w:r>
      <w:r w:rsidRPr="00DB37EA">
        <w:rPr>
          <w:szCs w:val="24"/>
        </w:rPr>
        <w:t xml:space="preserve">(двенадцати) </w:t>
      </w:r>
      <w:r w:rsidRPr="009A62ED">
        <w:rPr>
          <w:szCs w:val="24"/>
        </w:rPr>
        <w:t>месяцев со дня подписания Получателями актов о выполнении работ Изделий.</w:t>
      </w:r>
    </w:p>
    <w:p w:rsidR="007874E8" w:rsidRPr="00DB37EA" w:rsidRDefault="007874E8" w:rsidP="007874E8">
      <w:pPr>
        <w:spacing w:after="0" w:line="240" w:lineRule="auto"/>
        <w:ind w:left="0" w:firstLine="0"/>
        <w:rPr>
          <w:szCs w:val="24"/>
        </w:rPr>
      </w:pPr>
      <w:r w:rsidRPr="009A62ED">
        <w:rPr>
          <w:szCs w:val="24"/>
        </w:rPr>
        <w:t>3.</w:t>
      </w:r>
      <w:r w:rsidRPr="00DB37EA">
        <w:rPr>
          <w:szCs w:val="24"/>
        </w:rPr>
        <w:t xml:space="preserve"> </w:t>
      </w:r>
      <w:r w:rsidRPr="009A62ED">
        <w:rPr>
          <w:szCs w:val="24"/>
        </w:rPr>
        <w:t>Исполнитель обязан:</w:t>
      </w:r>
    </w:p>
    <w:p w:rsidR="007874E8" w:rsidRDefault="007874E8" w:rsidP="007874E8">
      <w:pPr>
        <w:spacing w:after="0" w:line="240" w:lineRule="auto"/>
        <w:ind w:left="0" w:firstLine="0"/>
        <w:rPr>
          <w:szCs w:val="24"/>
        </w:rPr>
      </w:pPr>
      <w:r w:rsidRPr="00DB37EA">
        <w:rPr>
          <w:szCs w:val="24"/>
        </w:rPr>
        <w:t xml:space="preserve">3.1. </w:t>
      </w:r>
      <w:r w:rsidRPr="009A62ED">
        <w:rPr>
          <w:szCs w:val="24"/>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r w:rsidRPr="00DB37EA">
        <w:rPr>
          <w:szCs w:val="24"/>
        </w:rPr>
        <w:t xml:space="preserve">. </w:t>
      </w:r>
    </w:p>
    <w:p w:rsidR="00ED07B3" w:rsidRPr="00DB37EA" w:rsidRDefault="00ED07B3" w:rsidP="007874E8">
      <w:pPr>
        <w:spacing w:after="0" w:line="240" w:lineRule="auto"/>
        <w:ind w:left="0" w:firstLine="0"/>
        <w:rPr>
          <w:szCs w:val="24"/>
        </w:rPr>
      </w:pPr>
      <w:r>
        <w:rPr>
          <w:color w:val="000000" w:themeColor="text1"/>
          <w:szCs w:val="24"/>
        </w:rPr>
        <w:t xml:space="preserve">3.2. </w:t>
      </w:r>
      <w:r w:rsidRPr="000C7C96">
        <w:rPr>
          <w:color w:val="000000" w:themeColor="text1"/>
          <w:szCs w:val="24"/>
        </w:rPr>
        <w:t xml:space="preserve">Предоставить документы для оплаты за фактически выполненные работы в текущем месяце ежемесячно, не позднее 05 числа месяца, следующего за месяцем выполнения работ, а в </w:t>
      </w:r>
      <w:r>
        <w:rPr>
          <w:color w:val="000000" w:themeColor="text1"/>
          <w:szCs w:val="24"/>
        </w:rPr>
        <w:t>декаб</w:t>
      </w:r>
      <w:r w:rsidRPr="000C7C96">
        <w:rPr>
          <w:color w:val="000000" w:themeColor="text1"/>
          <w:szCs w:val="24"/>
        </w:rPr>
        <w:t>ре не позднее 01.1</w:t>
      </w:r>
      <w:r>
        <w:rPr>
          <w:color w:val="000000" w:themeColor="text1"/>
          <w:szCs w:val="24"/>
        </w:rPr>
        <w:t>2</w:t>
      </w:r>
      <w:r w:rsidRPr="000C7C96">
        <w:rPr>
          <w:color w:val="000000" w:themeColor="text1"/>
          <w:szCs w:val="24"/>
        </w:rPr>
        <w:t>.2025 включительно.</w:t>
      </w:r>
    </w:p>
    <w:p w:rsidR="007874E8" w:rsidRPr="009A62ED" w:rsidRDefault="007874E8" w:rsidP="007874E8">
      <w:pPr>
        <w:spacing w:after="0" w:line="240" w:lineRule="auto"/>
        <w:ind w:left="0" w:firstLine="0"/>
        <w:rPr>
          <w:szCs w:val="24"/>
        </w:rPr>
      </w:pPr>
      <w:r w:rsidRPr="00DB37EA">
        <w:rPr>
          <w:szCs w:val="24"/>
        </w:rPr>
        <w:t>3.</w:t>
      </w:r>
      <w:r w:rsidR="00ED07B3">
        <w:rPr>
          <w:szCs w:val="24"/>
        </w:rPr>
        <w:t>3</w:t>
      </w:r>
      <w:r w:rsidRPr="00DB37EA">
        <w:rPr>
          <w:szCs w:val="24"/>
        </w:rPr>
        <w:t xml:space="preserve">. </w:t>
      </w:r>
      <w:r w:rsidRPr="009A62ED">
        <w:rPr>
          <w:szCs w:val="24"/>
        </w:rPr>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7874E8" w:rsidRPr="009A62ED" w:rsidRDefault="007874E8" w:rsidP="007874E8">
      <w:pPr>
        <w:spacing w:after="0" w:line="240" w:lineRule="auto"/>
        <w:ind w:left="0" w:firstLine="0"/>
        <w:rPr>
          <w:szCs w:val="24"/>
        </w:rPr>
      </w:pPr>
      <w:r w:rsidRPr="009A62ED">
        <w:rPr>
          <w:szCs w:val="24"/>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w:t>
      </w:r>
      <w:r w:rsidRPr="009A62ED">
        <w:rPr>
          <w:szCs w:val="24"/>
        </w:rPr>
        <w:lastRenderedPageBreak/>
        <w:t xml:space="preserve">полномочия представителя при этом требовать документ (копию документа), удостоверяющего личность Получателя не допускается. </w:t>
      </w:r>
    </w:p>
    <w:p w:rsidR="00ED07B3" w:rsidRDefault="007874E8" w:rsidP="007874E8">
      <w:pPr>
        <w:spacing w:after="0" w:line="240" w:lineRule="auto"/>
        <w:ind w:left="0" w:firstLine="0"/>
        <w:rPr>
          <w:szCs w:val="24"/>
        </w:rPr>
      </w:pPr>
      <w:r w:rsidRPr="009A62ED">
        <w:rPr>
          <w:szCs w:val="24"/>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Изделий представителю Получателя.</w:t>
      </w:r>
      <w:r w:rsidRPr="00DB37EA">
        <w:rPr>
          <w:szCs w:val="24"/>
        </w:rPr>
        <w:t xml:space="preserve"> </w:t>
      </w:r>
    </w:p>
    <w:p w:rsidR="007874E8" w:rsidRPr="00DB37EA" w:rsidRDefault="007874E8" w:rsidP="007874E8">
      <w:pPr>
        <w:spacing w:after="0" w:line="240" w:lineRule="auto"/>
        <w:ind w:left="0" w:firstLine="0"/>
        <w:rPr>
          <w:szCs w:val="24"/>
        </w:rPr>
      </w:pPr>
      <w:r w:rsidRPr="00DB37EA">
        <w:rPr>
          <w:szCs w:val="24"/>
        </w:rPr>
        <w:t>3.</w:t>
      </w:r>
      <w:r w:rsidR="00ED07B3">
        <w:rPr>
          <w:szCs w:val="24"/>
        </w:rPr>
        <w:t>4</w:t>
      </w:r>
      <w:r w:rsidRPr="00DB37EA">
        <w:rPr>
          <w:szCs w:val="24"/>
        </w:rPr>
        <w:t xml:space="preserve">. </w:t>
      </w:r>
      <w:r w:rsidRPr="009A62ED">
        <w:rPr>
          <w:szCs w:val="24"/>
        </w:rPr>
        <w:t>При работе с Получателями обеспечить соблюдение рекомендаций и санитарно</w:t>
      </w:r>
      <w:r w:rsidRPr="00DB37EA">
        <w:rPr>
          <w:szCs w:val="24"/>
        </w:rPr>
        <w:t>-</w:t>
      </w:r>
      <w:r w:rsidRPr="009A62ED">
        <w:rPr>
          <w:szCs w:val="24"/>
        </w:rPr>
        <w:t xml:space="preserve">эпидемиологических требований </w:t>
      </w:r>
      <w:proofErr w:type="spellStart"/>
      <w:r w:rsidRPr="009A62ED">
        <w:rPr>
          <w:szCs w:val="24"/>
        </w:rPr>
        <w:t>Роспотребнадзора</w:t>
      </w:r>
      <w:proofErr w:type="spellEnd"/>
      <w:r w:rsidRPr="009A62ED">
        <w:rPr>
          <w:szCs w:val="24"/>
        </w:rPr>
        <w:t xml:space="preserve"> и исполнительных органов государственной власти Санкт-Петербурга и Ленинградской области при возникновении неблагоприятной санитарно</w:t>
      </w:r>
      <w:r w:rsidRPr="00DB37EA">
        <w:rPr>
          <w:szCs w:val="24"/>
        </w:rPr>
        <w:t>-</w:t>
      </w:r>
      <w:r w:rsidRPr="009A62ED">
        <w:rPr>
          <w:szCs w:val="24"/>
        </w:rPr>
        <w:t xml:space="preserve">эпидемиологической обстановки, в том числе в период распространении новой </w:t>
      </w:r>
      <w:proofErr w:type="spellStart"/>
      <w:r w:rsidRPr="009A62ED">
        <w:rPr>
          <w:szCs w:val="24"/>
        </w:rPr>
        <w:t>коронавирусной</w:t>
      </w:r>
      <w:proofErr w:type="spellEnd"/>
      <w:r w:rsidRPr="009A62ED">
        <w:rPr>
          <w:szCs w:val="24"/>
        </w:rPr>
        <w:t xml:space="preserve"> инфекции (COVID-19).</w:t>
      </w:r>
      <w:r w:rsidRPr="00DB37EA">
        <w:rPr>
          <w:szCs w:val="24"/>
        </w:rPr>
        <w:t xml:space="preserve"> </w:t>
      </w:r>
    </w:p>
    <w:p w:rsidR="007874E8" w:rsidRPr="00DB37EA" w:rsidRDefault="007874E8" w:rsidP="007874E8">
      <w:pPr>
        <w:spacing w:after="0" w:line="240" w:lineRule="auto"/>
        <w:ind w:left="0" w:firstLine="0"/>
        <w:rPr>
          <w:szCs w:val="24"/>
        </w:rPr>
      </w:pPr>
      <w:r w:rsidRPr="00DB37EA">
        <w:rPr>
          <w:szCs w:val="24"/>
        </w:rPr>
        <w:t>3.</w:t>
      </w:r>
      <w:r w:rsidR="00ED07B3">
        <w:rPr>
          <w:szCs w:val="24"/>
        </w:rPr>
        <w:t>5</w:t>
      </w:r>
      <w:r w:rsidRPr="00DB37EA">
        <w:rPr>
          <w:szCs w:val="24"/>
        </w:rPr>
        <w:t xml:space="preserve">. </w:t>
      </w:r>
      <w:r w:rsidRPr="009A62ED">
        <w:rPr>
          <w:szCs w:val="24"/>
        </w:rPr>
        <w:t>Обеспечить возможность изготовления Изделий со дня, следующего за днем передачи Исполнителям реестра Получателей.</w:t>
      </w:r>
      <w:r w:rsidRPr="00DB37EA">
        <w:rPr>
          <w:szCs w:val="24"/>
        </w:rPr>
        <w:t xml:space="preserve"> </w:t>
      </w:r>
    </w:p>
    <w:p w:rsidR="007874E8" w:rsidRPr="009A62ED" w:rsidRDefault="007874E8" w:rsidP="007874E8">
      <w:pPr>
        <w:spacing w:after="0" w:line="240" w:lineRule="auto"/>
        <w:ind w:left="0" w:firstLine="0"/>
        <w:rPr>
          <w:szCs w:val="24"/>
        </w:rPr>
      </w:pPr>
      <w:r w:rsidRPr="00DB37EA">
        <w:rPr>
          <w:szCs w:val="24"/>
        </w:rPr>
        <w:t>3.</w:t>
      </w:r>
      <w:r w:rsidR="00ED07B3">
        <w:rPr>
          <w:szCs w:val="24"/>
        </w:rPr>
        <w:t>6</w:t>
      </w:r>
      <w:r w:rsidRPr="00DB37EA">
        <w:rPr>
          <w:szCs w:val="24"/>
        </w:rPr>
        <w:t xml:space="preserve">. </w:t>
      </w:r>
      <w:r w:rsidRPr="009A62ED">
        <w:rPr>
          <w:szCs w:val="24"/>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7874E8" w:rsidRPr="009A62ED" w:rsidRDefault="007874E8" w:rsidP="007874E8">
      <w:pPr>
        <w:spacing w:after="0" w:line="240" w:lineRule="auto"/>
        <w:ind w:left="0" w:firstLine="0"/>
        <w:rPr>
          <w:szCs w:val="24"/>
        </w:rPr>
      </w:pPr>
      <w:r w:rsidRPr="009A62ED">
        <w:rPr>
          <w:szCs w:val="24"/>
        </w:rPr>
        <w:t>В случае обнаружения Получателями в течение гарантийного срока Изделий при их должной эксплуатации несоответствия качества Изделий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Изделия подлежат гарантийному ремонту) либо осуществлена замена Изделий на аналогичные Изделия надлежащего качества.</w:t>
      </w:r>
    </w:p>
    <w:p w:rsidR="007874E8" w:rsidRPr="009A62ED" w:rsidRDefault="007874E8" w:rsidP="007874E8">
      <w:pPr>
        <w:spacing w:after="0" w:line="240" w:lineRule="auto"/>
        <w:ind w:left="0" w:firstLine="0"/>
        <w:rPr>
          <w:szCs w:val="24"/>
        </w:rPr>
      </w:pPr>
      <w:r w:rsidRPr="009A62ED">
        <w:rPr>
          <w:szCs w:val="24"/>
        </w:rPr>
        <w:t>Срок выполнения гарантийного ремонта Изделий не должен превышать 20 рабочих дней со дня обращения Получателя (Заказчика).</w:t>
      </w:r>
    </w:p>
    <w:p w:rsidR="007874E8" w:rsidRPr="009A62ED" w:rsidRDefault="007874E8" w:rsidP="007874E8">
      <w:pPr>
        <w:spacing w:after="0" w:line="240" w:lineRule="auto"/>
        <w:ind w:left="0" w:firstLine="0"/>
        <w:rPr>
          <w:szCs w:val="24"/>
        </w:rPr>
      </w:pPr>
      <w:r w:rsidRPr="009A62ED">
        <w:rPr>
          <w:szCs w:val="24"/>
        </w:rPr>
        <w:t>Срок осуществления замены Изделий не должен превышать 15 рабочих дней со дня обращения Получателя (Заказчика).</w:t>
      </w:r>
    </w:p>
    <w:p w:rsidR="007874E8" w:rsidRPr="009A62ED" w:rsidRDefault="007874E8" w:rsidP="007874E8">
      <w:pPr>
        <w:spacing w:after="0" w:line="240" w:lineRule="auto"/>
        <w:ind w:left="0" w:firstLine="0"/>
        <w:rPr>
          <w:szCs w:val="24"/>
        </w:rPr>
      </w:pPr>
      <w:r w:rsidRPr="009A62ED">
        <w:rPr>
          <w:szCs w:val="24"/>
        </w:rPr>
        <w:t xml:space="preserve">Обеспечение возможности ремонта, устранения недостатков Изделий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таких Изделий. </w:t>
      </w:r>
    </w:p>
    <w:p w:rsidR="007874E8" w:rsidRPr="009A62ED" w:rsidRDefault="007874E8" w:rsidP="007874E8">
      <w:pPr>
        <w:spacing w:after="0" w:line="240" w:lineRule="auto"/>
        <w:ind w:left="0" w:firstLine="0"/>
        <w:rPr>
          <w:szCs w:val="24"/>
        </w:rPr>
      </w:pPr>
      <w:r w:rsidRPr="009A62ED">
        <w:rPr>
          <w:szCs w:val="24"/>
        </w:rPr>
        <w:t xml:space="preserve">В связи с тем, что передача Изделий осуществляется непосредственно Получателям, Исполнитель должен вместе с Изделиями передать Получателю гарантийный талон или иной документ, содержащий сведения, необходимые для обращения по вопросам гарантийного ремонта (замены) Изделий, а также содержащий адрес (адреса) и режим работы пункта (пунктов) гарантийного обслуживания. </w:t>
      </w:r>
    </w:p>
    <w:p w:rsidR="007874E8" w:rsidRPr="00DB37EA" w:rsidRDefault="007874E8" w:rsidP="007874E8">
      <w:pPr>
        <w:spacing w:after="0" w:line="240" w:lineRule="auto"/>
        <w:ind w:left="0" w:firstLine="0"/>
        <w:rPr>
          <w:szCs w:val="24"/>
        </w:rPr>
      </w:pPr>
      <w:r w:rsidRPr="009A62ED">
        <w:rPr>
          <w:szCs w:val="24"/>
        </w:rPr>
        <w:t>Исполнитель должен обеспечить возможность приемки Изделий на гарантийный ремонт (если Изделия подлежат гарантийному ремонту) или для их замены по фактическому месту проживания Получателей с последующей доставкой Изделий до Получателей по указанному адресу с подъемом на этаж или по месту нахождения организованных Исполнителем пунктов приема на территории Санкт-Петербурга и Ленинградской области.</w:t>
      </w:r>
      <w:r w:rsidRPr="00DB37EA">
        <w:rPr>
          <w:szCs w:val="24"/>
        </w:rPr>
        <w:t xml:space="preserve"> </w:t>
      </w:r>
    </w:p>
    <w:p w:rsidR="007874E8" w:rsidRPr="009A62ED" w:rsidRDefault="007874E8" w:rsidP="007874E8">
      <w:pPr>
        <w:spacing w:after="0" w:line="240" w:lineRule="auto"/>
        <w:ind w:left="0" w:firstLine="0"/>
        <w:rPr>
          <w:szCs w:val="24"/>
        </w:rPr>
      </w:pPr>
      <w:r w:rsidRPr="00DB37EA">
        <w:rPr>
          <w:szCs w:val="24"/>
        </w:rPr>
        <w:t>3.</w:t>
      </w:r>
      <w:r w:rsidR="00ED07B3">
        <w:rPr>
          <w:szCs w:val="24"/>
        </w:rPr>
        <w:t>7</w:t>
      </w:r>
      <w:r w:rsidRPr="009A62ED">
        <w:rPr>
          <w:szCs w:val="24"/>
        </w:rPr>
        <w:t>. Давать справки Получателям по вопросам, связанным с изготовлением Изделий, а также осуществлять прием заявок на доставку Изделий по месту нахождения Получателей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в ближайший рабочий день, следующий за днем заключения контракта.</w:t>
      </w:r>
    </w:p>
    <w:p w:rsidR="007874E8" w:rsidRPr="009A62ED" w:rsidRDefault="007874E8" w:rsidP="007874E8">
      <w:pPr>
        <w:spacing w:after="0" w:line="240" w:lineRule="auto"/>
        <w:ind w:left="0" w:firstLine="0"/>
        <w:rPr>
          <w:szCs w:val="24"/>
        </w:rPr>
      </w:pPr>
      <w:r w:rsidRPr="009A62ED">
        <w:rPr>
          <w:szCs w:val="24"/>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Исполнителем. </w:t>
      </w:r>
    </w:p>
    <w:p w:rsidR="007874E8" w:rsidRPr="009A62ED" w:rsidRDefault="007874E8" w:rsidP="007874E8">
      <w:pPr>
        <w:spacing w:after="0" w:line="240" w:lineRule="auto"/>
        <w:ind w:left="0" w:firstLine="0"/>
        <w:rPr>
          <w:szCs w:val="24"/>
        </w:rPr>
      </w:pPr>
      <w:r w:rsidRPr="00DB37EA">
        <w:rPr>
          <w:szCs w:val="24"/>
        </w:rPr>
        <w:lastRenderedPageBreak/>
        <w:t>3.</w:t>
      </w:r>
      <w:r w:rsidR="00ED07B3">
        <w:rPr>
          <w:szCs w:val="24"/>
        </w:rPr>
        <w:t>8</w:t>
      </w:r>
      <w:r w:rsidRPr="009A62ED">
        <w:rPr>
          <w:szCs w:val="24"/>
        </w:rPr>
        <w:t>.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с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7874E8" w:rsidRPr="009A62ED" w:rsidRDefault="007874E8" w:rsidP="007874E8">
      <w:pPr>
        <w:spacing w:after="0" w:line="240" w:lineRule="auto"/>
        <w:ind w:left="0" w:firstLine="0"/>
        <w:rPr>
          <w:szCs w:val="24"/>
        </w:rPr>
      </w:pPr>
      <w:r w:rsidRPr="009A62ED">
        <w:rPr>
          <w:szCs w:val="24"/>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Изделий Получателям не позднее дня, следующего за днем доставки, согласованным с Получателями.</w:t>
      </w:r>
    </w:p>
    <w:p w:rsidR="007874E8" w:rsidRPr="009A62ED" w:rsidRDefault="007874E8" w:rsidP="007874E8">
      <w:pPr>
        <w:spacing w:after="0" w:line="240" w:lineRule="auto"/>
        <w:ind w:left="0" w:firstLine="0"/>
        <w:rPr>
          <w:szCs w:val="24"/>
        </w:rPr>
      </w:pPr>
      <w:r w:rsidRPr="00DB37EA">
        <w:rPr>
          <w:szCs w:val="24"/>
        </w:rPr>
        <w:t>3.</w:t>
      </w:r>
      <w:r w:rsidR="00ED07B3">
        <w:rPr>
          <w:szCs w:val="24"/>
        </w:rPr>
        <w:t>9</w:t>
      </w:r>
      <w:r w:rsidRPr="009A62ED">
        <w:rPr>
          <w:szCs w:val="24"/>
        </w:rPr>
        <w:t>.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vred@78.sfr.gov.ru.</w:t>
      </w:r>
    </w:p>
    <w:p w:rsidR="007874E8" w:rsidRPr="009A62ED" w:rsidRDefault="007874E8" w:rsidP="007874E8">
      <w:pPr>
        <w:spacing w:after="0" w:line="240" w:lineRule="auto"/>
        <w:ind w:left="0" w:firstLine="0"/>
        <w:rPr>
          <w:szCs w:val="24"/>
        </w:rPr>
      </w:pPr>
      <w:r w:rsidRPr="00DB37EA">
        <w:rPr>
          <w:szCs w:val="24"/>
        </w:rPr>
        <w:t>3.</w:t>
      </w:r>
      <w:r w:rsidR="00ED07B3">
        <w:rPr>
          <w:szCs w:val="24"/>
        </w:rPr>
        <w:t>10</w:t>
      </w:r>
      <w:r w:rsidRPr="009A62ED">
        <w:rPr>
          <w:szCs w:val="24"/>
        </w:rPr>
        <w:t xml:space="preserve">. В случае привлечения к исполнению контракта соисполнителя в ближайший рабочий день, следующий за днем заключения </w:t>
      </w:r>
      <w:r w:rsidRPr="00DB37EA">
        <w:rPr>
          <w:szCs w:val="24"/>
        </w:rPr>
        <w:t xml:space="preserve">государственного </w:t>
      </w:r>
      <w:r w:rsidRPr="009A62ED">
        <w:rPr>
          <w:szCs w:val="24"/>
        </w:rPr>
        <w:t>контракта</w:t>
      </w:r>
      <w:r w:rsidR="0002061C">
        <w:rPr>
          <w:szCs w:val="24"/>
        </w:rPr>
        <w:t xml:space="preserve"> </w:t>
      </w:r>
      <w:r w:rsidRPr="009A62ED">
        <w:rPr>
          <w:szCs w:val="24"/>
        </w:rPr>
        <w:t xml:space="preserve">предоставить Заказчику данные о соисполнителе: </w:t>
      </w:r>
    </w:p>
    <w:p w:rsidR="007874E8" w:rsidRPr="009A62ED" w:rsidRDefault="007874E8" w:rsidP="007874E8">
      <w:pPr>
        <w:numPr>
          <w:ilvl w:val="0"/>
          <w:numId w:val="5"/>
        </w:numPr>
        <w:spacing w:after="0" w:line="240" w:lineRule="auto"/>
        <w:ind w:left="0" w:firstLine="0"/>
        <w:rPr>
          <w:szCs w:val="24"/>
        </w:rPr>
      </w:pPr>
      <w:r w:rsidRPr="009A62ED">
        <w:rPr>
          <w:szCs w:val="24"/>
        </w:rPr>
        <w:t>наименование, фирменное наименование (при наличии), место нахождения, почтовый адрес (для юридического лица);</w:t>
      </w:r>
    </w:p>
    <w:p w:rsidR="007874E8" w:rsidRPr="009A62ED" w:rsidRDefault="007874E8" w:rsidP="007874E8">
      <w:pPr>
        <w:numPr>
          <w:ilvl w:val="0"/>
          <w:numId w:val="5"/>
        </w:numPr>
        <w:spacing w:after="0" w:line="240" w:lineRule="auto"/>
        <w:ind w:left="0" w:firstLine="0"/>
        <w:rPr>
          <w:szCs w:val="24"/>
        </w:rPr>
      </w:pPr>
      <w:r w:rsidRPr="009A62ED">
        <w:rPr>
          <w:szCs w:val="24"/>
        </w:rPr>
        <w:t xml:space="preserve">фамилия, имя, отчество (при наличии), паспортные данные, место жительства </w:t>
      </w:r>
    </w:p>
    <w:p w:rsidR="007874E8" w:rsidRPr="009A62ED" w:rsidRDefault="007874E8" w:rsidP="007874E8">
      <w:pPr>
        <w:spacing w:after="0" w:line="240" w:lineRule="auto"/>
        <w:ind w:left="0" w:firstLine="0"/>
        <w:rPr>
          <w:szCs w:val="24"/>
        </w:rPr>
      </w:pPr>
      <w:r w:rsidRPr="009A62ED">
        <w:rPr>
          <w:szCs w:val="24"/>
        </w:rPr>
        <w:t>(для физического лица);</w:t>
      </w:r>
    </w:p>
    <w:p w:rsidR="007874E8" w:rsidRPr="009A62ED" w:rsidRDefault="007874E8" w:rsidP="007874E8">
      <w:pPr>
        <w:numPr>
          <w:ilvl w:val="0"/>
          <w:numId w:val="5"/>
        </w:numPr>
        <w:spacing w:after="0" w:line="240" w:lineRule="auto"/>
        <w:ind w:left="0" w:firstLine="0"/>
        <w:rPr>
          <w:szCs w:val="24"/>
        </w:rPr>
      </w:pPr>
      <w:r w:rsidRPr="009A62ED">
        <w:rPr>
          <w:szCs w:val="24"/>
        </w:rPr>
        <w:t>номер контактного телефона;</w:t>
      </w:r>
    </w:p>
    <w:p w:rsidR="007874E8" w:rsidRPr="009A62ED" w:rsidRDefault="007874E8" w:rsidP="007874E8">
      <w:pPr>
        <w:numPr>
          <w:ilvl w:val="0"/>
          <w:numId w:val="5"/>
        </w:numPr>
        <w:spacing w:after="0" w:line="240" w:lineRule="auto"/>
        <w:ind w:left="0" w:firstLine="0"/>
        <w:rPr>
          <w:szCs w:val="24"/>
        </w:rPr>
      </w:pPr>
      <w:r w:rsidRPr="009A62ED">
        <w:rPr>
          <w:szCs w:val="24"/>
        </w:rPr>
        <w:t>адрес электронной почты;</w:t>
      </w:r>
    </w:p>
    <w:p w:rsidR="007874E8" w:rsidRPr="009A62ED" w:rsidRDefault="007874E8" w:rsidP="007874E8">
      <w:pPr>
        <w:numPr>
          <w:ilvl w:val="0"/>
          <w:numId w:val="5"/>
        </w:numPr>
        <w:spacing w:after="0" w:line="240" w:lineRule="auto"/>
        <w:ind w:left="0" w:firstLine="0"/>
        <w:rPr>
          <w:szCs w:val="24"/>
        </w:rPr>
      </w:pPr>
      <w:r w:rsidRPr="009A62ED">
        <w:rPr>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874E8" w:rsidRPr="009A62ED" w:rsidRDefault="007874E8" w:rsidP="007874E8">
      <w:pPr>
        <w:numPr>
          <w:ilvl w:val="0"/>
          <w:numId w:val="5"/>
        </w:numPr>
        <w:spacing w:after="0" w:line="240" w:lineRule="auto"/>
        <w:ind w:left="0" w:firstLine="0"/>
        <w:rPr>
          <w:szCs w:val="24"/>
        </w:rPr>
      </w:pPr>
      <w:r w:rsidRPr="009A62ED">
        <w:rPr>
          <w:szCs w:val="24"/>
        </w:rPr>
        <w:t>перечень операций, выполняемых соисполнителем в рамках государственного контракта;</w:t>
      </w:r>
    </w:p>
    <w:p w:rsidR="007874E8" w:rsidRPr="009A62ED" w:rsidRDefault="007874E8" w:rsidP="007874E8">
      <w:pPr>
        <w:numPr>
          <w:ilvl w:val="0"/>
          <w:numId w:val="5"/>
        </w:numPr>
        <w:spacing w:after="0" w:line="240" w:lineRule="auto"/>
        <w:ind w:left="0" w:firstLine="0"/>
        <w:rPr>
          <w:szCs w:val="24"/>
        </w:rPr>
      </w:pPr>
      <w:r w:rsidRPr="009A62ED">
        <w:rPr>
          <w:szCs w:val="24"/>
        </w:rPr>
        <w:t xml:space="preserve">срок </w:t>
      </w:r>
      <w:proofErr w:type="spellStart"/>
      <w:r w:rsidRPr="009A62ED">
        <w:rPr>
          <w:szCs w:val="24"/>
        </w:rPr>
        <w:t>соисполнительства</w:t>
      </w:r>
      <w:proofErr w:type="spellEnd"/>
      <w:r w:rsidRPr="009A62ED">
        <w:rPr>
          <w:szCs w:val="24"/>
        </w:rPr>
        <w:t>.</w:t>
      </w:r>
    </w:p>
    <w:p w:rsidR="007874E8" w:rsidRPr="009A62ED" w:rsidRDefault="007874E8" w:rsidP="007874E8">
      <w:pPr>
        <w:spacing w:after="0" w:line="240" w:lineRule="auto"/>
        <w:ind w:left="0" w:firstLine="0"/>
        <w:rPr>
          <w:szCs w:val="24"/>
        </w:rPr>
      </w:pPr>
      <w:r w:rsidRPr="009A62ED">
        <w:rPr>
          <w:szCs w:val="24"/>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7874E8" w:rsidRPr="009A62ED" w:rsidRDefault="007874E8" w:rsidP="007874E8">
      <w:pPr>
        <w:spacing w:after="0" w:line="240" w:lineRule="auto"/>
        <w:ind w:left="0" w:firstLine="0"/>
        <w:rPr>
          <w:szCs w:val="24"/>
        </w:rPr>
      </w:pPr>
      <w:r w:rsidRPr="009A62ED">
        <w:rPr>
          <w:szCs w:val="24"/>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7874E8" w:rsidRPr="009A62ED" w:rsidRDefault="007874E8" w:rsidP="007874E8">
      <w:pPr>
        <w:spacing w:after="0" w:line="240" w:lineRule="auto"/>
        <w:ind w:left="0" w:firstLine="0"/>
        <w:rPr>
          <w:szCs w:val="24"/>
        </w:rPr>
      </w:pPr>
      <w:r w:rsidRPr="009A62ED">
        <w:rPr>
          <w:szCs w:val="24"/>
        </w:rPr>
        <w:t>Информация предоставляется сопроводительным письмом с приложением подтверждающих документов на бумажном носителе и в электронном виде по адресу</w:t>
      </w:r>
      <w:r w:rsidRPr="009A62ED">
        <w:rPr>
          <w:szCs w:val="24"/>
          <w:u w:val="single" w:color="000000"/>
        </w:rPr>
        <w:t xml:space="preserve"> vred@78.sfr.gov.ru</w:t>
      </w:r>
      <w:r w:rsidRPr="009A62ED">
        <w:rPr>
          <w:szCs w:val="24"/>
        </w:rPr>
        <w:t xml:space="preserve">. </w:t>
      </w:r>
    </w:p>
    <w:p w:rsidR="007874E8" w:rsidRPr="009A62ED" w:rsidRDefault="007874E8" w:rsidP="007874E8">
      <w:pPr>
        <w:numPr>
          <w:ilvl w:val="0"/>
          <w:numId w:val="6"/>
        </w:numPr>
        <w:spacing w:after="0" w:line="240" w:lineRule="auto"/>
        <w:ind w:left="0" w:firstLine="0"/>
        <w:rPr>
          <w:szCs w:val="24"/>
        </w:rPr>
      </w:pPr>
      <w:r w:rsidRPr="009A62ED">
        <w:rPr>
          <w:szCs w:val="24"/>
        </w:rPr>
        <w:t>Способ выдачи Изделий:</w:t>
      </w:r>
    </w:p>
    <w:p w:rsidR="007874E8" w:rsidRPr="009A62ED" w:rsidRDefault="007874E8" w:rsidP="007874E8">
      <w:pPr>
        <w:spacing w:after="0" w:line="240" w:lineRule="auto"/>
        <w:ind w:left="0" w:firstLine="0"/>
        <w:rPr>
          <w:szCs w:val="24"/>
        </w:rPr>
      </w:pPr>
      <w:r w:rsidRPr="009A62ED">
        <w:rPr>
          <w:szCs w:val="24"/>
        </w:rPr>
        <w:t>4.1. Предоставлять Получателям право выбора способа получения Изделий:</w:t>
      </w:r>
    </w:p>
    <w:p w:rsidR="007874E8" w:rsidRPr="00DB37EA" w:rsidRDefault="007874E8" w:rsidP="007874E8">
      <w:pPr>
        <w:spacing w:after="0" w:line="240" w:lineRule="auto"/>
        <w:ind w:left="0" w:firstLine="0"/>
        <w:rPr>
          <w:szCs w:val="24"/>
        </w:rPr>
      </w:pPr>
      <w:r w:rsidRPr="009A62ED">
        <w:rPr>
          <w:szCs w:val="24"/>
        </w:rPr>
        <w:t>-</w:t>
      </w:r>
      <w:r w:rsidRPr="009A62ED">
        <w:rPr>
          <w:szCs w:val="24"/>
        </w:rPr>
        <w:tab/>
        <w:t xml:space="preserve">по месту жительства (месту пребывания, фактического проживания) Получателей; </w:t>
      </w:r>
    </w:p>
    <w:p w:rsidR="007874E8" w:rsidRPr="009A62ED" w:rsidRDefault="007874E8" w:rsidP="007874E8">
      <w:pPr>
        <w:spacing w:after="0" w:line="240" w:lineRule="auto"/>
        <w:ind w:left="0" w:firstLine="0"/>
        <w:rPr>
          <w:szCs w:val="24"/>
        </w:rPr>
      </w:pPr>
      <w:r w:rsidRPr="009A62ED">
        <w:rPr>
          <w:szCs w:val="24"/>
        </w:rPr>
        <w:t>-</w:t>
      </w:r>
      <w:r w:rsidRPr="009A62ED">
        <w:rPr>
          <w:szCs w:val="24"/>
        </w:rPr>
        <w:tab/>
        <w:t>в пункте (пунктах) приема Получателей, организованных Исполнителем.</w:t>
      </w:r>
    </w:p>
    <w:p w:rsidR="007874E8" w:rsidRPr="009A62ED" w:rsidRDefault="007874E8" w:rsidP="007874E8">
      <w:pPr>
        <w:spacing w:after="0" w:line="240" w:lineRule="auto"/>
        <w:ind w:left="0" w:firstLine="0"/>
        <w:rPr>
          <w:szCs w:val="24"/>
        </w:rPr>
      </w:pPr>
      <w:r w:rsidRPr="009A62ED">
        <w:rPr>
          <w:szCs w:val="24"/>
        </w:rPr>
        <w:t>Доставка Изделий по месту жительства (месту пребывания, фактического проживания) Получателей</w:t>
      </w:r>
      <w:r w:rsidRPr="00DB37EA">
        <w:rPr>
          <w:szCs w:val="24"/>
        </w:rPr>
        <w:t>,</w:t>
      </w:r>
      <w:r w:rsidRPr="009A62ED">
        <w:rPr>
          <w:szCs w:val="24"/>
        </w:rPr>
        <w:t xml:space="preserve"> в том числе службой доставки (почтовым отправлением)</w:t>
      </w:r>
      <w:r w:rsidRPr="00DB37EA">
        <w:rPr>
          <w:szCs w:val="24"/>
        </w:rPr>
        <w:t>,</w:t>
      </w:r>
      <w:r w:rsidRPr="009A62ED">
        <w:rPr>
          <w:szCs w:val="24"/>
        </w:rPr>
        <w:t xml:space="preserve"> осуществляется за счет собственных средств Исполнителя.</w:t>
      </w:r>
    </w:p>
    <w:p w:rsidR="007874E8" w:rsidRPr="009A62ED" w:rsidRDefault="007874E8" w:rsidP="007874E8">
      <w:pPr>
        <w:spacing w:after="0" w:line="240" w:lineRule="auto"/>
        <w:ind w:left="0" w:firstLine="0"/>
        <w:rPr>
          <w:szCs w:val="24"/>
        </w:rPr>
      </w:pPr>
      <w:r w:rsidRPr="009A62ED">
        <w:rPr>
          <w:szCs w:val="24"/>
        </w:rPr>
        <w:t xml:space="preserve">4.2. В целях реализации возможности заказа Изделий Получателями через пункт (пункты) приема Получателей и недопущения длительного ожидания в очереди Исполнитель должен организовать не менее 1 (одного) пункта приема Получателей в ближайший рабочий день, следующий за днем заключения </w:t>
      </w:r>
      <w:r w:rsidRPr="00DB37EA">
        <w:rPr>
          <w:szCs w:val="24"/>
        </w:rPr>
        <w:t xml:space="preserve">государственного </w:t>
      </w:r>
      <w:r w:rsidRPr="009A62ED">
        <w:rPr>
          <w:szCs w:val="24"/>
        </w:rPr>
        <w:t>контракта</w:t>
      </w:r>
      <w:r w:rsidR="0002061C">
        <w:rPr>
          <w:szCs w:val="24"/>
        </w:rPr>
        <w:t xml:space="preserve"> </w:t>
      </w:r>
      <w:r w:rsidRPr="009A62ED">
        <w:rPr>
          <w:szCs w:val="24"/>
        </w:rPr>
        <w:t>в Санкт-Петербурге.</w:t>
      </w:r>
    </w:p>
    <w:p w:rsidR="007874E8" w:rsidRPr="009A62ED" w:rsidRDefault="007874E8" w:rsidP="007874E8">
      <w:pPr>
        <w:spacing w:after="0" w:line="240" w:lineRule="auto"/>
        <w:ind w:left="0" w:firstLine="0"/>
        <w:rPr>
          <w:szCs w:val="24"/>
        </w:rPr>
      </w:pPr>
      <w:r w:rsidRPr="009A62ED">
        <w:rPr>
          <w:szCs w:val="24"/>
        </w:rPr>
        <w:t xml:space="preserve">Пункт (пункты) должны действовать до конца выполнения </w:t>
      </w:r>
      <w:r w:rsidRPr="00DB37EA">
        <w:rPr>
          <w:szCs w:val="24"/>
        </w:rPr>
        <w:t>работ</w:t>
      </w:r>
      <w:r w:rsidRPr="009A62ED">
        <w:rPr>
          <w:szCs w:val="24"/>
        </w:rPr>
        <w:t xml:space="preserve"> согласно условиям Технического задания. </w:t>
      </w:r>
    </w:p>
    <w:p w:rsidR="007874E8" w:rsidRPr="009A62ED" w:rsidRDefault="007874E8" w:rsidP="007874E8">
      <w:pPr>
        <w:spacing w:after="0" w:line="240" w:lineRule="auto"/>
        <w:ind w:left="0" w:firstLine="0"/>
        <w:rPr>
          <w:szCs w:val="24"/>
        </w:rPr>
      </w:pPr>
      <w:r w:rsidRPr="009A62ED">
        <w:rPr>
          <w:szCs w:val="24"/>
        </w:rPr>
        <w:t xml:space="preserve">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7874E8" w:rsidRPr="009A62ED" w:rsidRDefault="007874E8" w:rsidP="007874E8">
      <w:pPr>
        <w:spacing w:after="0" w:line="240" w:lineRule="auto"/>
        <w:ind w:left="0" w:firstLine="0"/>
        <w:rPr>
          <w:szCs w:val="24"/>
        </w:rPr>
      </w:pPr>
      <w:r w:rsidRPr="009A62ED">
        <w:rPr>
          <w:szCs w:val="24"/>
        </w:rPr>
        <w:t>Требования к организации пунктов приема Получателей установлены в техническом задании</w:t>
      </w:r>
      <w:r w:rsidRPr="00DB37EA">
        <w:rPr>
          <w:szCs w:val="24"/>
        </w:rPr>
        <w:t>,</w:t>
      </w:r>
      <w:r w:rsidRPr="009A62ED">
        <w:rPr>
          <w:szCs w:val="24"/>
        </w:rPr>
        <w:t xml:space="preserve"> исходя из необходимости обеспечить доступные транспортные условия для инвалидов из любой части города Санкт-Петербурга. </w:t>
      </w:r>
    </w:p>
    <w:p w:rsidR="007874E8" w:rsidRPr="009A62ED" w:rsidRDefault="007874E8" w:rsidP="007874E8">
      <w:pPr>
        <w:spacing w:after="0" w:line="240" w:lineRule="auto"/>
        <w:ind w:left="0" w:firstLine="0"/>
        <w:rPr>
          <w:szCs w:val="24"/>
        </w:rPr>
      </w:pPr>
      <w:r w:rsidRPr="009A62ED">
        <w:rPr>
          <w:szCs w:val="24"/>
        </w:rPr>
        <w:lastRenderedPageBreak/>
        <w:t>В ближайший рабочий день, следующий за днем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7874E8" w:rsidRPr="009A62ED" w:rsidRDefault="007874E8" w:rsidP="007874E8">
      <w:pPr>
        <w:spacing w:after="0" w:line="240" w:lineRule="auto"/>
        <w:ind w:left="0" w:firstLine="0"/>
        <w:rPr>
          <w:szCs w:val="24"/>
        </w:rPr>
      </w:pPr>
      <w:r w:rsidRPr="009A62ED">
        <w:rPr>
          <w:szCs w:val="24"/>
        </w:rPr>
        <w:t>В ближайший рабочий день, следующий за днем заключения государственного контракта</w:t>
      </w:r>
      <w:r w:rsidR="0002061C">
        <w:rPr>
          <w:szCs w:val="24"/>
        </w:rPr>
        <w:t xml:space="preserve"> </w:t>
      </w:r>
      <w:r w:rsidRPr="009A62ED">
        <w:rPr>
          <w:szCs w:val="24"/>
        </w:rPr>
        <w:t>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7874E8" w:rsidRPr="009A62ED" w:rsidRDefault="007874E8" w:rsidP="007874E8">
      <w:pPr>
        <w:spacing w:after="0" w:line="240" w:lineRule="auto"/>
        <w:ind w:left="0" w:firstLine="0"/>
        <w:rPr>
          <w:szCs w:val="24"/>
        </w:rPr>
      </w:pPr>
      <w:r w:rsidRPr="009A62ED">
        <w:rPr>
          <w:szCs w:val="24"/>
        </w:rPr>
        <w:t>4.3.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7874E8" w:rsidRPr="009A62ED" w:rsidRDefault="007874E8" w:rsidP="007874E8">
      <w:pPr>
        <w:spacing w:after="0" w:line="240" w:lineRule="auto"/>
        <w:ind w:left="0" w:firstLine="0"/>
        <w:rPr>
          <w:szCs w:val="24"/>
        </w:rPr>
      </w:pPr>
      <w:r w:rsidRPr="009A62ED">
        <w:rPr>
          <w:szCs w:val="24"/>
        </w:rPr>
        <w:t xml:space="preserve">Вход в каждый пункт (пункты) приема Получателей должен быть обозначен надписью (например, </w:t>
      </w:r>
      <w:r w:rsidRPr="00DB37EA">
        <w:rPr>
          <w:szCs w:val="24"/>
        </w:rPr>
        <w:t>«</w:t>
      </w:r>
      <w:r w:rsidRPr="009A62ED">
        <w:rPr>
          <w:szCs w:val="24"/>
        </w:rPr>
        <w:t>Пункт выдачи ТСР</w:t>
      </w:r>
      <w:r w:rsidRPr="00DB37EA">
        <w:rPr>
          <w:szCs w:val="24"/>
        </w:rPr>
        <w:t>»</w:t>
      </w:r>
      <w:r w:rsidRPr="009A62ED">
        <w:rPr>
          <w:szCs w:val="24"/>
        </w:rPr>
        <w:t>),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7874E8" w:rsidRPr="009A62ED" w:rsidRDefault="007874E8" w:rsidP="007874E8">
      <w:pPr>
        <w:spacing w:after="0" w:line="240" w:lineRule="auto"/>
        <w:ind w:left="0" w:firstLine="0"/>
        <w:jc w:val="left"/>
        <w:rPr>
          <w:szCs w:val="24"/>
        </w:rPr>
      </w:pPr>
      <w:r w:rsidRPr="009A62ED">
        <w:rPr>
          <w:b/>
          <w:szCs w:val="24"/>
        </w:rPr>
        <w:t>Входная группа</w:t>
      </w:r>
      <w:r w:rsidRPr="009A62ED">
        <w:rPr>
          <w:szCs w:val="24"/>
        </w:rPr>
        <w:t xml:space="preserve"> </w:t>
      </w:r>
    </w:p>
    <w:p w:rsidR="007874E8" w:rsidRPr="009A62ED" w:rsidRDefault="007874E8" w:rsidP="007874E8">
      <w:pPr>
        <w:spacing w:after="0" w:line="240" w:lineRule="auto"/>
        <w:ind w:left="0" w:firstLine="0"/>
        <w:jc w:val="left"/>
        <w:rPr>
          <w:szCs w:val="24"/>
        </w:rPr>
      </w:pPr>
      <w:r w:rsidRPr="009A62ED">
        <w:rPr>
          <w:szCs w:val="24"/>
        </w:rPr>
        <w:t>При перепадах высот исполнитель должен учитывать</w:t>
      </w:r>
      <w:bookmarkStart w:id="0" w:name="_GoBack"/>
      <w:bookmarkEnd w:id="0"/>
      <w:r w:rsidRPr="009A62ED">
        <w:rPr>
          <w:szCs w:val="24"/>
        </w:rPr>
        <w:t xml:space="preserve"> наличие следующих элементов:</w:t>
      </w:r>
    </w:p>
    <w:p w:rsidR="007874E8" w:rsidRPr="009A62ED" w:rsidRDefault="007874E8" w:rsidP="00306B50">
      <w:pPr>
        <w:numPr>
          <w:ilvl w:val="0"/>
          <w:numId w:val="7"/>
        </w:numPr>
        <w:spacing w:after="0" w:line="240" w:lineRule="auto"/>
        <w:ind w:left="0" w:firstLine="0"/>
        <w:rPr>
          <w:szCs w:val="24"/>
        </w:rPr>
      </w:pPr>
      <w:r w:rsidRPr="009A62ED">
        <w:rPr>
          <w:szCs w:val="24"/>
        </w:rPr>
        <w:t xml:space="preserve">Пандус с </w:t>
      </w:r>
      <w:r w:rsidRPr="00DB37EA">
        <w:rPr>
          <w:szCs w:val="24"/>
        </w:rPr>
        <w:t xml:space="preserve">поручнями </w:t>
      </w:r>
      <w:r w:rsidRPr="009A62ED">
        <w:rPr>
          <w:szCs w:val="24"/>
        </w:rPr>
        <w:t>(в соответствии с п. 5.1.14 – п. 5.1.16; п.</w:t>
      </w:r>
      <w:r w:rsidRPr="00DB37EA">
        <w:rPr>
          <w:szCs w:val="24"/>
        </w:rPr>
        <w:t xml:space="preserve"> 6.1.2</w:t>
      </w:r>
      <w:r w:rsidRPr="009A62ED">
        <w:rPr>
          <w:szCs w:val="24"/>
        </w:rPr>
        <w:t>; п. 6.2.9 – п. 6.2.11 СП 59.13330.2020);</w:t>
      </w:r>
    </w:p>
    <w:p w:rsidR="007874E8" w:rsidRPr="009A62ED" w:rsidRDefault="007874E8" w:rsidP="007874E8">
      <w:pPr>
        <w:spacing w:after="0" w:line="240" w:lineRule="auto"/>
        <w:ind w:left="0" w:firstLine="0"/>
        <w:rPr>
          <w:szCs w:val="24"/>
        </w:rPr>
      </w:pPr>
      <w:r w:rsidRPr="009A62ED">
        <w:rPr>
          <w:szCs w:val="24"/>
        </w:rPr>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7874E8" w:rsidRPr="009A62ED" w:rsidRDefault="007874E8" w:rsidP="007874E8">
      <w:pPr>
        <w:numPr>
          <w:ilvl w:val="0"/>
          <w:numId w:val="7"/>
        </w:numPr>
        <w:spacing w:after="0" w:line="240" w:lineRule="auto"/>
        <w:ind w:left="0" w:firstLine="0"/>
        <w:rPr>
          <w:szCs w:val="24"/>
        </w:rPr>
      </w:pPr>
      <w:r w:rsidRPr="009A62ED">
        <w:rPr>
          <w:szCs w:val="24"/>
        </w:rPr>
        <w:t>Лестница с поручнями;</w:t>
      </w:r>
    </w:p>
    <w:p w:rsidR="007874E8" w:rsidRPr="009A62ED" w:rsidRDefault="007874E8" w:rsidP="007874E8">
      <w:pPr>
        <w:spacing w:after="0" w:line="240" w:lineRule="auto"/>
        <w:ind w:left="0" w:firstLine="0"/>
        <w:rPr>
          <w:szCs w:val="24"/>
        </w:rPr>
      </w:pPr>
      <w:r w:rsidRPr="009A62ED">
        <w:rPr>
          <w:szCs w:val="24"/>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7874E8" w:rsidRPr="009A62ED" w:rsidRDefault="007874E8" w:rsidP="007874E8">
      <w:pPr>
        <w:spacing w:after="0" w:line="240" w:lineRule="auto"/>
        <w:ind w:left="0" w:firstLine="0"/>
        <w:rPr>
          <w:szCs w:val="24"/>
        </w:rPr>
      </w:pPr>
      <w:r w:rsidRPr="009A62ED">
        <w:rPr>
          <w:szCs w:val="24"/>
        </w:rPr>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7874E8" w:rsidRPr="009A62ED" w:rsidRDefault="007874E8" w:rsidP="007874E8">
      <w:pPr>
        <w:spacing w:after="0" w:line="240" w:lineRule="auto"/>
        <w:ind w:left="0" w:firstLine="0"/>
        <w:rPr>
          <w:szCs w:val="24"/>
        </w:rPr>
      </w:pPr>
      <w:r w:rsidRPr="009A62ED">
        <w:rPr>
          <w:szCs w:val="24"/>
        </w:rPr>
        <w:t>Применение для инвалидов вместо пандусов аппарелей не допускается на объекте (в соответствии с п. 6.1.2 СП 59.13330.2020).</w:t>
      </w:r>
    </w:p>
    <w:p w:rsidR="007874E8" w:rsidRPr="009A62ED" w:rsidRDefault="007874E8" w:rsidP="007874E8">
      <w:pPr>
        <w:numPr>
          <w:ilvl w:val="0"/>
          <w:numId w:val="7"/>
        </w:numPr>
        <w:spacing w:after="0" w:line="240" w:lineRule="auto"/>
        <w:ind w:left="0" w:firstLine="0"/>
        <w:rPr>
          <w:szCs w:val="24"/>
        </w:rPr>
      </w:pPr>
      <w:r w:rsidRPr="009A62ED">
        <w:rPr>
          <w:szCs w:val="24"/>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7874E8" w:rsidRPr="009A62ED" w:rsidRDefault="007874E8" w:rsidP="007874E8">
      <w:pPr>
        <w:numPr>
          <w:ilvl w:val="0"/>
          <w:numId w:val="7"/>
        </w:numPr>
        <w:spacing w:after="0" w:line="240" w:lineRule="auto"/>
        <w:ind w:left="0" w:firstLine="0"/>
        <w:rPr>
          <w:szCs w:val="24"/>
        </w:rPr>
      </w:pPr>
      <w:r w:rsidRPr="009A62ED">
        <w:rPr>
          <w:szCs w:val="24"/>
        </w:rPr>
        <w:t>Тактильно-контрастные указатели;</w:t>
      </w:r>
    </w:p>
    <w:p w:rsidR="007874E8" w:rsidRPr="009A62ED" w:rsidRDefault="007874E8" w:rsidP="007874E8">
      <w:pPr>
        <w:spacing w:after="0" w:line="240" w:lineRule="auto"/>
        <w:ind w:left="0" w:firstLine="0"/>
        <w:rPr>
          <w:szCs w:val="24"/>
        </w:rPr>
      </w:pPr>
      <w:r w:rsidRPr="009A62ED">
        <w:rPr>
          <w:szCs w:val="24"/>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7874E8" w:rsidRPr="009A62ED" w:rsidRDefault="007874E8" w:rsidP="007874E8">
      <w:pPr>
        <w:spacing w:after="0" w:line="240" w:lineRule="auto"/>
        <w:ind w:left="0" w:firstLine="0"/>
        <w:jc w:val="left"/>
        <w:rPr>
          <w:szCs w:val="24"/>
        </w:rPr>
      </w:pPr>
      <w:r w:rsidRPr="009A62ED">
        <w:rPr>
          <w:b/>
          <w:szCs w:val="24"/>
        </w:rPr>
        <w:t>Пути движения внутри пункта (пунктов) приема Получателей</w:t>
      </w:r>
    </w:p>
    <w:p w:rsidR="007874E8" w:rsidRPr="009A62ED" w:rsidRDefault="007874E8" w:rsidP="007874E8">
      <w:pPr>
        <w:spacing w:after="0" w:line="240" w:lineRule="auto"/>
        <w:ind w:left="0" w:firstLine="0"/>
        <w:rPr>
          <w:szCs w:val="24"/>
        </w:rPr>
      </w:pPr>
      <w:r w:rsidRPr="009A62ED">
        <w:rPr>
          <w:szCs w:val="24"/>
        </w:rPr>
        <w:t>При перепадах высот Исполнитель должен учитывать наличие следующих элементов:</w:t>
      </w:r>
    </w:p>
    <w:p w:rsidR="007874E8" w:rsidRPr="009A62ED" w:rsidRDefault="007874E8" w:rsidP="0002061C">
      <w:pPr>
        <w:numPr>
          <w:ilvl w:val="0"/>
          <w:numId w:val="7"/>
        </w:numPr>
        <w:spacing w:after="0" w:line="240" w:lineRule="auto"/>
        <w:ind w:left="0" w:firstLine="0"/>
        <w:rPr>
          <w:szCs w:val="24"/>
        </w:rPr>
      </w:pPr>
      <w:r w:rsidRPr="009A62ED">
        <w:rPr>
          <w:szCs w:val="24"/>
        </w:rPr>
        <w:t>Лифт, подъемная платформа, эскалатор (в соответствии с п. 6.2.13 – п. 6.2.18 СП 59.13330.2020).</w:t>
      </w:r>
      <w:r w:rsidRPr="009A62ED">
        <w:rPr>
          <w:b/>
          <w:szCs w:val="24"/>
        </w:rPr>
        <w:t xml:space="preserve"> </w:t>
      </w:r>
    </w:p>
    <w:p w:rsidR="007874E8" w:rsidRPr="009A62ED" w:rsidRDefault="007874E8" w:rsidP="007874E8">
      <w:pPr>
        <w:spacing w:after="0" w:line="240" w:lineRule="auto"/>
        <w:ind w:left="0" w:firstLine="0"/>
        <w:rPr>
          <w:szCs w:val="24"/>
        </w:rPr>
      </w:pPr>
      <w:r w:rsidRPr="009A62ED">
        <w:rPr>
          <w:szCs w:val="24"/>
        </w:rPr>
        <w:t>Лифт должен иметь габариты не менее 1100х1400 мм (ширина х глубина).</w:t>
      </w:r>
    </w:p>
    <w:p w:rsidR="007874E8" w:rsidRPr="009A62ED" w:rsidRDefault="007874E8" w:rsidP="007874E8">
      <w:pPr>
        <w:numPr>
          <w:ilvl w:val="0"/>
          <w:numId w:val="7"/>
        </w:numPr>
        <w:spacing w:after="0" w:line="240" w:lineRule="auto"/>
        <w:ind w:left="0" w:firstLine="0"/>
        <w:rPr>
          <w:szCs w:val="24"/>
        </w:rPr>
      </w:pPr>
      <w:r w:rsidRPr="009A62ED">
        <w:rPr>
          <w:szCs w:val="24"/>
        </w:rPr>
        <w:t>Лестницы необходимо обеспечить противоскользящими контрастными полосами общей шириной 0,08 - 0,1 м (в соответствии с п. 6.2.8 СП 59.13330.2020).</w:t>
      </w:r>
    </w:p>
    <w:p w:rsidR="007874E8" w:rsidRPr="009A62ED" w:rsidRDefault="007874E8" w:rsidP="007874E8">
      <w:pPr>
        <w:numPr>
          <w:ilvl w:val="0"/>
          <w:numId w:val="7"/>
        </w:numPr>
        <w:spacing w:after="0" w:line="240" w:lineRule="auto"/>
        <w:ind w:left="0" w:firstLine="0"/>
        <w:rPr>
          <w:szCs w:val="24"/>
        </w:rPr>
      </w:pPr>
      <w:r w:rsidRPr="009A62ED">
        <w:rPr>
          <w:szCs w:val="24"/>
        </w:rPr>
        <w:t xml:space="preserve">Необходимо обеспечить зону досягаемости для посетителей в кресле-коляске в пределах, установленных в соответствии с п. 8.1.7 </w:t>
      </w:r>
      <w:r w:rsidRPr="00DB37EA">
        <w:rPr>
          <w:szCs w:val="24"/>
        </w:rPr>
        <w:t>СП 59.133</w:t>
      </w:r>
      <w:r w:rsidRPr="009A62ED">
        <w:rPr>
          <w:szCs w:val="24"/>
        </w:rPr>
        <w:t>30.2020.</w:t>
      </w:r>
    </w:p>
    <w:p w:rsidR="007874E8" w:rsidRPr="009A62ED" w:rsidRDefault="007874E8" w:rsidP="007874E8">
      <w:pPr>
        <w:numPr>
          <w:ilvl w:val="0"/>
          <w:numId w:val="7"/>
        </w:numPr>
        <w:spacing w:after="0" w:line="240" w:lineRule="auto"/>
        <w:ind w:left="0" w:firstLine="0"/>
        <w:rPr>
          <w:szCs w:val="24"/>
        </w:rPr>
      </w:pPr>
      <w:r w:rsidRPr="009A62ED">
        <w:rPr>
          <w:szCs w:val="24"/>
        </w:rPr>
        <w:t xml:space="preserve">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w:t>
      </w:r>
      <w:r w:rsidRPr="009A62ED">
        <w:rPr>
          <w:szCs w:val="24"/>
        </w:rPr>
        <w:lastRenderedPageBreak/>
        <w:t>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7874E8" w:rsidRPr="009A62ED" w:rsidRDefault="007874E8" w:rsidP="007874E8">
      <w:pPr>
        <w:numPr>
          <w:ilvl w:val="0"/>
          <w:numId w:val="7"/>
        </w:numPr>
        <w:spacing w:after="0" w:line="240" w:lineRule="auto"/>
        <w:ind w:left="0" w:firstLine="0"/>
        <w:rPr>
          <w:szCs w:val="24"/>
        </w:rPr>
      </w:pPr>
      <w:r w:rsidRPr="009A62ED">
        <w:rPr>
          <w:szCs w:val="24"/>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7874E8" w:rsidRPr="009A62ED" w:rsidRDefault="007874E8" w:rsidP="007874E8">
      <w:pPr>
        <w:numPr>
          <w:ilvl w:val="0"/>
          <w:numId w:val="7"/>
        </w:numPr>
        <w:spacing w:after="0" w:line="240" w:lineRule="auto"/>
        <w:ind w:left="0" w:firstLine="0"/>
        <w:rPr>
          <w:szCs w:val="24"/>
        </w:rPr>
      </w:pPr>
      <w:r w:rsidRPr="009A62ED">
        <w:rPr>
          <w:szCs w:val="24"/>
        </w:rPr>
        <w:t xml:space="preserve">В целях </w:t>
      </w:r>
      <w:r w:rsidRPr="00DB37EA">
        <w:rPr>
          <w:szCs w:val="24"/>
        </w:rPr>
        <w:t>безопасности</w:t>
      </w:r>
      <w:r w:rsidRPr="009A62ED">
        <w:rPr>
          <w:szCs w:val="24"/>
        </w:rPr>
        <w:t xml:space="preserve">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7874E8" w:rsidRPr="009A62ED" w:rsidRDefault="007874E8" w:rsidP="007874E8">
      <w:pPr>
        <w:spacing w:after="0" w:line="240" w:lineRule="auto"/>
        <w:ind w:left="0" w:firstLine="0"/>
        <w:jc w:val="left"/>
        <w:rPr>
          <w:szCs w:val="24"/>
        </w:rPr>
      </w:pPr>
      <w:r w:rsidRPr="009A62ED">
        <w:rPr>
          <w:b/>
          <w:szCs w:val="24"/>
        </w:rPr>
        <w:t>Пути эвакуации</w:t>
      </w:r>
    </w:p>
    <w:p w:rsidR="007874E8" w:rsidRPr="009A62ED" w:rsidRDefault="007874E8" w:rsidP="007874E8">
      <w:pPr>
        <w:spacing w:after="0" w:line="240" w:lineRule="auto"/>
        <w:ind w:left="0" w:firstLine="0"/>
        <w:rPr>
          <w:szCs w:val="24"/>
        </w:rPr>
      </w:pPr>
      <w:r w:rsidRPr="009A62ED">
        <w:rPr>
          <w:szCs w:val="24"/>
        </w:rPr>
        <w:t xml:space="preserve">В случае невозможности соблюдения положений части 15 статьи 89 </w:t>
      </w:r>
      <w:hyperlink r:id="rId5">
        <w:r w:rsidRPr="009A62ED">
          <w:rPr>
            <w:szCs w:val="24"/>
          </w:rPr>
          <w:t>Федерального</w:t>
        </w:r>
      </w:hyperlink>
      <w:hyperlink r:id="rId6">
        <w:r w:rsidRPr="009A62ED">
          <w:rPr>
            <w:szCs w:val="24"/>
          </w:rPr>
          <w:t xml:space="preserve"> </w:t>
        </w:r>
      </w:hyperlink>
      <w:hyperlink r:id="rId7">
        <w:r w:rsidRPr="009A62ED">
          <w:rPr>
            <w:szCs w:val="24"/>
          </w:rPr>
          <w:t>закона</w:t>
        </w:r>
      </w:hyperlink>
      <w:hyperlink r:id="rId8">
        <w:r w:rsidRPr="009A62ED">
          <w:rPr>
            <w:szCs w:val="24"/>
          </w:rPr>
          <w:t xml:space="preserve"> </w:t>
        </w:r>
      </w:hyperlink>
      <w:hyperlink r:id="rId9">
        <w:r w:rsidRPr="009A62ED">
          <w:rPr>
            <w:szCs w:val="24"/>
          </w:rPr>
          <w:t>от</w:t>
        </w:r>
      </w:hyperlink>
      <w:hyperlink r:id="rId10">
        <w:r w:rsidRPr="009A62ED">
          <w:rPr>
            <w:szCs w:val="24"/>
          </w:rPr>
          <w:t xml:space="preserve"> </w:t>
        </w:r>
      </w:hyperlink>
      <w:hyperlink r:id="rId11">
        <w:r w:rsidRPr="009A62ED">
          <w:rPr>
            <w:szCs w:val="24"/>
          </w:rPr>
          <w:t xml:space="preserve">22.07.2008 </w:t>
        </w:r>
      </w:hyperlink>
      <w:hyperlink r:id="rId12">
        <w:r w:rsidRPr="009A62ED">
          <w:rPr>
            <w:szCs w:val="24"/>
          </w:rPr>
          <w:t>№</w:t>
        </w:r>
      </w:hyperlink>
      <w:hyperlink r:id="rId13">
        <w:r w:rsidRPr="009A62ED">
          <w:rPr>
            <w:szCs w:val="24"/>
          </w:rPr>
          <w:t>123-</w:t>
        </w:r>
      </w:hyperlink>
      <w:hyperlink r:id="rId14">
        <w:r w:rsidRPr="009A62ED">
          <w:rPr>
            <w:szCs w:val="24"/>
          </w:rPr>
          <w:t>ФЗ</w:t>
        </w:r>
      </w:hyperlink>
      <w:hyperlink r:id="rId15">
        <w:r w:rsidRPr="009A62ED">
          <w:rPr>
            <w:szCs w:val="24"/>
          </w:rPr>
          <w:t xml:space="preserve"> «</w:t>
        </w:r>
      </w:hyperlink>
      <w:hyperlink r:id="rId16">
        <w:r w:rsidRPr="009A62ED">
          <w:rPr>
            <w:szCs w:val="24"/>
          </w:rPr>
          <w:t>Технический</w:t>
        </w:r>
      </w:hyperlink>
      <w:hyperlink r:id="rId17">
        <w:r w:rsidRPr="009A62ED">
          <w:rPr>
            <w:szCs w:val="24"/>
          </w:rPr>
          <w:t xml:space="preserve"> </w:t>
        </w:r>
      </w:hyperlink>
      <w:hyperlink r:id="rId18">
        <w:r w:rsidRPr="009A62ED">
          <w:rPr>
            <w:szCs w:val="24"/>
          </w:rPr>
          <w:t>регламент</w:t>
        </w:r>
      </w:hyperlink>
      <w:hyperlink r:id="rId19">
        <w:r w:rsidRPr="009A62ED">
          <w:rPr>
            <w:szCs w:val="24"/>
          </w:rPr>
          <w:t xml:space="preserve"> </w:t>
        </w:r>
      </w:hyperlink>
      <w:hyperlink r:id="rId20">
        <w:r w:rsidRPr="009A62ED">
          <w:rPr>
            <w:szCs w:val="24"/>
          </w:rPr>
          <w:t>о</w:t>
        </w:r>
      </w:hyperlink>
      <w:hyperlink r:id="rId21">
        <w:r w:rsidRPr="009A62ED">
          <w:rPr>
            <w:szCs w:val="24"/>
          </w:rPr>
          <w:t xml:space="preserve"> </w:t>
        </w:r>
      </w:hyperlink>
      <w:hyperlink r:id="rId22">
        <w:r w:rsidRPr="009A62ED">
          <w:rPr>
            <w:szCs w:val="24"/>
          </w:rPr>
          <w:t>требованиях</w:t>
        </w:r>
      </w:hyperlink>
      <w:hyperlink r:id="rId23">
        <w:r w:rsidRPr="009A62ED">
          <w:rPr>
            <w:szCs w:val="24"/>
          </w:rPr>
          <w:t xml:space="preserve"> </w:t>
        </w:r>
      </w:hyperlink>
      <w:hyperlink r:id="rId24">
        <w:r w:rsidRPr="009A62ED">
          <w:rPr>
            <w:szCs w:val="24"/>
          </w:rPr>
          <w:t>пожарной</w:t>
        </w:r>
      </w:hyperlink>
      <w:hyperlink r:id="rId25">
        <w:r w:rsidRPr="009A62ED">
          <w:rPr>
            <w:szCs w:val="24"/>
          </w:rPr>
          <w:t xml:space="preserve"> </w:t>
        </w:r>
      </w:hyperlink>
      <w:hyperlink r:id="rId26">
        <w:r w:rsidRPr="009A62ED">
          <w:rPr>
            <w:szCs w:val="24"/>
          </w:rPr>
          <w:t>безопасности</w:t>
        </w:r>
      </w:hyperlink>
      <w:r w:rsidRPr="009A62ED">
        <w:rPr>
          <w:szCs w:val="24"/>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7874E8" w:rsidRPr="009A62ED" w:rsidRDefault="007874E8" w:rsidP="007874E8">
      <w:pPr>
        <w:spacing w:after="0" w:line="240" w:lineRule="auto"/>
        <w:ind w:left="0" w:firstLine="0"/>
        <w:rPr>
          <w:szCs w:val="24"/>
        </w:rPr>
      </w:pPr>
      <w:r w:rsidRPr="009A62ED">
        <w:rPr>
          <w:szCs w:val="24"/>
        </w:rPr>
        <w:t>Пути эвакуации помещений пункта (пунктов) приема должны обеспечивать безопасность посетителей в соответствии с п. 6.2.19 - п. 6.2.32 СП 59.13330.2020.</w:t>
      </w:r>
    </w:p>
    <w:p w:rsidR="007874E8" w:rsidRPr="009A62ED" w:rsidRDefault="007874E8" w:rsidP="007874E8">
      <w:pPr>
        <w:spacing w:after="0" w:line="240" w:lineRule="auto"/>
        <w:ind w:left="0" w:firstLine="0"/>
        <w:rPr>
          <w:szCs w:val="24"/>
        </w:rPr>
      </w:pPr>
      <w:r w:rsidRPr="009A62ED">
        <w:rPr>
          <w:szCs w:val="24"/>
        </w:rPr>
        <w:t>Обеспечить систему двухсторонней связи с диспетчером или дежурным (в соответствии с п. 6.5.8 СП 59.13330.2020).</w:t>
      </w:r>
    </w:p>
    <w:p w:rsidR="007874E8" w:rsidRPr="009A62ED" w:rsidRDefault="007874E8" w:rsidP="007874E8">
      <w:pPr>
        <w:numPr>
          <w:ilvl w:val="1"/>
          <w:numId w:val="8"/>
        </w:numPr>
        <w:spacing w:after="0" w:line="240" w:lineRule="auto"/>
        <w:ind w:left="0" w:firstLine="0"/>
        <w:rPr>
          <w:szCs w:val="24"/>
        </w:rPr>
      </w:pPr>
      <w:r w:rsidRPr="009A62ED">
        <w:rPr>
          <w:szCs w:val="24"/>
        </w:rPr>
        <w:t>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№1, 2, 3), со свободным доступом Получателей. При чем не менее 1 (одной) оборудованной для посещения Получателей в соответствии с п. 6.3.3, 6.3.6, 6.3.9 СП 59.13330.2020.</w:t>
      </w:r>
    </w:p>
    <w:p w:rsidR="007874E8" w:rsidRPr="009A62ED" w:rsidRDefault="007874E8" w:rsidP="007874E8">
      <w:pPr>
        <w:numPr>
          <w:ilvl w:val="1"/>
          <w:numId w:val="8"/>
        </w:numPr>
        <w:spacing w:after="0" w:line="240" w:lineRule="auto"/>
        <w:ind w:left="0" w:firstLine="142"/>
        <w:rPr>
          <w:szCs w:val="24"/>
        </w:rPr>
      </w:pPr>
      <w:r w:rsidRPr="009A62ED">
        <w:rPr>
          <w:szCs w:val="24"/>
        </w:rPr>
        <w:t xml:space="preserve">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w:t>
      </w:r>
    </w:p>
    <w:p w:rsidR="007874E8" w:rsidRPr="009A62ED" w:rsidRDefault="007874E8" w:rsidP="007874E8">
      <w:pPr>
        <w:spacing w:after="0" w:line="240" w:lineRule="auto"/>
        <w:ind w:left="0" w:firstLine="0"/>
        <w:rPr>
          <w:szCs w:val="24"/>
        </w:rPr>
      </w:pPr>
      <w:r w:rsidRPr="009A62ED">
        <w:rPr>
          <w:szCs w:val="24"/>
        </w:rPr>
        <w:t xml:space="preserve">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7874E8" w:rsidRPr="009A62ED" w:rsidRDefault="007874E8" w:rsidP="007874E8">
      <w:pPr>
        <w:numPr>
          <w:ilvl w:val="1"/>
          <w:numId w:val="8"/>
        </w:numPr>
        <w:spacing w:after="0" w:line="240" w:lineRule="auto"/>
        <w:ind w:left="0" w:firstLine="0"/>
        <w:rPr>
          <w:szCs w:val="24"/>
        </w:rPr>
      </w:pPr>
      <w:r w:rsidRPr="009A62ED">
        <w:rPr>
          <w:szCs w:val="24"/>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7874E8" w:rsidRPr="009A62ED" w:rsidRDefault="007874E8" w:rsidP="007874E8">
      <w:pPr>
        <w:numPr>
          <w:ilvl w:val="1"/>
          <w:numId w:val="8"/>
        </w:numPr>
        <w:spacing w:after="0" w:line="240" w:lineRule="auto"/>
        <w:ind w:left="0" w:firstLine="0"/>
        <w:rPr>
          <w:szCs w:val="24"/>
        </w:rPr>
      </w:pPr>
      <w:r w:rsidRPr="009A62ED">
        <w:rPr>
          <w:szCs w:val="24"/>
        </w:rPr>
        <w:t>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7874E8" w:rsidRPr="009A62ED" w:rsidRDefault="007874E8" w:rsidP="007874E8">
      <w:pPr>
        <w:numPr>
          <w:ilvl w:val="1"/>
          <w:numId w:val="8"/>
        </w:numPr>
        <w:spacing w:after="0" w:line="240" w:lineRule="auto"/>
        <w:ind w:left="0" w:firstLine="0"/>
        <w:rPr>
          <w:szCs w:val="24"/>
        </w:rPr>
      </w:pPr>
      <w:r w:rsidRPr="009A62ED">
        <w:rPr>
          <w:szCs w:val="24"/>
        </w:rPr>
        <w:t>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874E8" w:rsidRPr="009A62ED" w:rsidRDefault="007874E8" w:rsidP="007874E8">
      <w:pPr>
        <w:numPr>
          <w:ilvl w:val="0"/>
          <w:numId w:val="7"/>
        </w:numPr>
        <w:spacing w:after="0" w:line="240" w:lineRule="auto"/>
        <w:ind w:left="0" w:firstLine="0"/>
        <w:rPr>
          <w:szCs w:val="24"/>
        </w:rPr>
      </w:pPr>
      <w:r w:rsidRPr="009A62ED">
        <w:rPr>
          <w:szCs w:val="24"/>
        </w:rPr>
        <w:t>возможность беспрепятственного входа в объекты и выхода из них;</w:t>
      </w:r>
    </w:p>
    <w:p w:rsidR="007874E8" w:rsidRPr="009A62ED" w:rsidRDefault="007874E8" w:rsidP="007874E8">
      <w:pPr>
        <w:numPr>
          <w:ilvl w:val="0"/>
          <w:numId w:val="7"/>
        </w:numPr>
        <w:spacing w:after="0" w:line="240" w:lineRule="auto"/>
        <w:ind w:left="0" w:firstLine="0"/>
        <w:rPr>
          <w:szCs w:val="24"/>
        </w:rPr>
      </w:pPr>
      <w:r w:rsidRPr="009A62ED">
        <w:rPr>
          <w:szCs w:val="24"/>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A62ED">
        <w:rPr>
          <w:szCs w:val="24"/>
        </w:rPr>
        <w:t>ассистивных</w:t>
      </w:r>
      <w:proofErr w:type="spellEnd"/>
      <w:r w:rsidRPr="009A62ED">
        <w:rPr>
          <w:szCs w:val="24"/>
        </w:rPr>
        <w:t xml:space="preserve"> и вспомогательных технологий, а также сменного кресла-коляски;</w:t>
      </w:r>
    </w:p>
    <w:p w:rsidR="007874E8" w:rsidRPr="009A62ED" w:rsidRDefault="007874E8" w:rsidP="007874E8">
      <w:pPr>
        <w:numPr>
          <w:ilvl w:val="0"/>
          <w:numId w:val="7"/>
        </w:numPr>
        <w:spacing w:after="0" w:line="240" w:lineRule="auto"/>
        <w:ind w:left="0" w:firstLine="0"/>
        <w:rPr>
          <w:szCs w:val="24"/>
        </w:rPr>
      </w:pPr>
      <w:r w:rsidRPr="009A62ED">
        <w:rPr>
          <w:szCs w:val="24"/>
        </w:rPr>
        <w:t>сопровождение застрахованных лиц, имеющих стойкие нарушения функции зрения и самостоятельного передвижения по территории объекта;</w:t>
      </w:r>
    </w:p>
    <w:p w:rsidR="007874E8" w:rsidRPr="009A62ED" w:rsidRDefault="007874E8" w:rsidP="007874E8">
      <w:pPr>
        <w:numPr>
          <w:ilvl w:val="0"/>
          <w:numId w:val="7"/>
        </w:numPr>
        <w:spacing w:after="0" w:line="240" w:lineRule="auto"/>
        <w:ind w:left="0" w:firstLine="0"/>
        <w:rPr>
          <w:szCs w:val="24"/>
        </w:rPr>
      </w:pPr>
      <w:r w:rsidRPr="009A62ED">
        <w:rPr>
          <w:szCs w:val="24"/>
        </w:rPr>
        <w:lastRenderedPageBreak/>
        <w:t>содействие застрахованному лицу при входе в объект и выходе из него, информирование инвалида о доступных маршрутах общественного транспорта;</w:t>
      </w:r>
    </w:p>
    <w:p w:rsidR="007874E8" w:rsidRPr="009A62ED" w:rsidRDefault="007874E8" w:rsidP="007874E8">
      <w:pPr>
        <w:numPr>
          <w:ilvl w:val="0"/>
          <w:numId w:val="7"/>
        </w:numPr>
        <w:spacing w:after="0" w:line="240" w:lineRule="auto"/>
        <w:ind w:left="0" w:firstLine="0"/>
        <w:rPr>
          <w:szCs w:val="24"/>
        </w:rPr>
      </w:pPr>
      <w:r w:rsidRPr="009A62ED">
        <w:rPr>
          <w:szCs w:val="24"/>
        </w:rPr>
        <w:t>надлежащее размещение носителей информации, необходимой для обеспечения беспрепятственного доступа застрахованных лиц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874E8" w:rsidRPr="009A62ED" w:rsidRDefault="007874E8" w:rsidP="007874E8">
      <w:pPr>
        <w:numPr>
          <w:ilvl w:val="0"/>
          <w:numId w:val="7"/>
        </w:numPr>
        <w:spacing w:after="0" w:line="240" w:lineRule="auto"/>
        <w:ind w:left="0" w:firstLine="0"/>
        <w:rPr>
          <w:szCs w:val="24"/>
        </w:rPr>
      </w:pPr>
      <w:r w:rsidRPr="009A62ED">
        <w:rPr>
          <w:szCs w:val="24"/>
        </w:rPr>
        <w:t>обеспечение допуска на объект, в котором предоставляются услуги, собаки</w:t>
      </w:r>
      <w:r w:rsidRPr="00DB37EA">
        <w:rPr>
          <w:szCs w:val="24"/>
        </w:rPr>
        <w:t>-</w:t>
      </w:r>
      <w:r w:rsidRPr="009A62ED">
        <w:rPr>
          <w:szCs w:val="24"/>
        </w:rPr>
        <w:t xml:space="preserve">проводника при наличии документа, подтверждающего ее специальное обучение, выданного по </w:t>
      </w:r>
      <w:hyperlink r:id="rId27" w:anchor="block_1000">
        <w:r w:rsidRPr="009A62ED">
          <w:rPr>
            <w:szCs w:val="24"/>
          </w:rPr>
          <w:t>форме</w:t>
        </w:r>
      </w:hyperlink>
      <w:r w:rsidRPr="009A62ED">
        <w:rPr>
          <w:szCs w:val="24"/>
        </w:rPr>
        <w:t xml:space="preserve"> и в </w:t>
      </w:r>
      <w:hyperlink r:id="rId28" w:anchor="block_2000">
        <w:r w:rsidRPr="009A62ED">
          <w:rPr>
            <w:szCs w:val="24"/>
          </w:rPr>
          <w:t>порядке</w:t>
        </w:r>
      </w:hyperlink>
      <w:r w:rsidRPr="009A62ED">
        <w:rPr>
          <w:szCs w:val="24"/>
        </w:rPr>
        <w:t xml:space="preserve">, утвержденных </w:t>
      </w:r>
      <w:hyperlink r:id="rId29">
        <w:r w:rsidRPr="009A62ED">
          <w:rPr>
            <w:szCs w:val="24"/>
          </w:rPr>
          <w:t>приказом</w:t>
        </w:r>
      </w:hyperlink>
      <w:r w:rsidRPr="009A62ED">
        <w:rPr>
          <w:szCs w:val="24"/>
        </w:rPr>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7874E8" w:rsidRPr="009A62ED" w:rsidRDefault="007874E8" w:rsidP="007874E8">
      <w:pPr>
        <w:numPr>
          <w:ilvl w:val="0"/>
          <w:numId w:val="9"/>
        </w:numPr>
        <w:spacing w:after="0" w:line="240" w:lineRule="auto"/>
        <w:ind w:left="0" w:firstLine="0"/>
        <w:rPr>
          <w:szCs w:val="24"/>
        </w:rPr>
      </w:pPr>
      <w:r w:rsidRPr="009A62ED">
        <w:rPr>
          <w:szCs w:val="24"/>
        </w:rPr>
        <w:t>В случае выбора Получателем способа получения Изделия по месту нахождения пункта (пунктов) приема, передача Изделия Получателю осуществляется в день обращения Получателя в пункт(-ы) приема с направлением. На отрывном талоне направления Исполнитель в обязательном порядке проставляет дату обращения Получателя.</w:t>
      </w:r>
    </w:p>
    <w:p w:rsidR="007874E8" w:rsidRPr="009A62ED" w:rsidRDefault="007874E8" w:rsidP="007874E8">
      <w:pPr>
        <w:spacing w:after="0" w:line="240" w:lineRule="auto"/>
        <w:ind w:left="0" w:firstLine="0"/>
        <w:rPr>
          <w:szCs w:val="24"/>
        </w:rPr>
      </w:pPr>
      <w:r w:rsidRPr="009A62ED">
        <w:rPr>
          <w:szCs w:val="24"/>
        </w:rPr>
        <w:t xml:space="preserve">5.1. Передача Изделия Получателю должна производиться в каждом из пунктов приема не менее 5 (пяти) дней </w:t>
      </w:r>
      <w:r w:rsidRPr="00DB37EA">
        <w:rPr>
          <w:szCs w:val="24"/>
        </w:rPr>
        <w:t xml:space="preserve">в </w:t>
      </w:r>
      <w:r w:rsidRPr="009A62ED">
        <w:rPr>
          <w:szCs w:val="24"/>
        </w:rPr>
        <w:t>неделю, не менее 40 (сорока) часов в неделю, при этом, время работы должно быть в интервале с 08:00 до 22:00</w:t>
      </w:r>
      <w:r w:rsidRPr="00DB37EA">
        <w:rPr>
          <w:szCs w:val="24"/>
        </w:rPr>
        <w:t xml:space="preserve"> часов</w:t>
      </w:r>
      <w:r w:rsidRPr="009A62ED">
        <w:rPr>
          <w:szCs w:val="24"/>
        </w:rPr>
        <w:t xml:space="preserve">. </w:t>
      </w:r>
    </w:p>
    <w:p w:rsidR="007874E8" w:rsidRPr="009A62ED" w:rsidRDefault="007874E8" w:rsidP="007874E8">
      <w:pPr>
        <w:numPr>
          <w:ilvl w:val="0"/>
          <w:numId w:val="9"/>
        </w:numPr>
        <w:spacing w:after="0" w:line="240" w:lineRule="auto"/>
        <w:ind w:left="0" w:firstLine="0"/>
        <w:rPr>
          <w:szCs w:val="24"/>
        </w:rPr>
      </w:pPr>
      <w:r w:rsidRPr="009A62ED">
        <w:rPr>
          <w:szCs w:val="24"/>
        </w:rPr>
        <w:t xml:space="preserve">В случае выбора Получателем способа получения Изделия путем передачи Изделия по месту нахождения </w:t>
      </w:r>
      <w:r w:rsidRPr="00DB37EA">
        <w:rPr>
          <w:szCs w:val="24"/>
        </w:rPr>
        <w:t>Получателя</w:t>
      </w:r>
      <w:r w:rsidRPr="009A62ED">
        <w:rPr>
          <w:szCs w:val="24"/>
        </w:rPr>
        <w:t xml:space="preserve"> такая доставка осуществляется Исполнителем в пределах административной границы </w:t>
      </w:r>
      <w:r w:rsidRPr="00DB37EA">
        <w:rPr>
          <w:szCs w:val="24"/>
        </w:rPr>
        <w:t>субъекта</w:t>
      </w:r>
      <w:r w:rsidRPr="009A62ED">
        <w:rPr>
          <w:szCs w:val="24"/>
        </w:rPr>
        <w:t xml:space="preserve"> не менее чем с 10:00 до 21:00 </w:t>
      </w:r>
      <w:r w:rsidRPr="00DB37EA">
        <w:rPr>
          <w:szCs w:val="24"/>
        </w:rPr>
        <w:t xml:space="preserve">часов </w:t>
      </w:r>
      <w:r w:rsidRPr="009A62ED">
        <w:rPr>
          <w:szCs w:val="24"/>
        </w:rPr>
        <w:t xml:space="preserve">не менее 5 (пяти) дней </w:t>
      </w:r>
      <w:r w:rsidRPr="00DB37EA">
        <w:rPr>
          <w:szCs w:val="24"/>
        </w:rPr>
        <w:t xml:space="preserve">в </w:t>
      </w:r>
      <w:r w:rsidRPr="009A62ED">
        <w:rPr>
          <w:szCs w:val="24"/>
        </w:rPr>
        <w:t xml:space="preserve">неделю, по предварительной записи по телефону, предоставленному Заказчику в срок со дня, следующего за днем заключения </w:t>
      </w:r>
      <w:r w:rsidRPr="00DB37EA">
        <w:rPr>
          <w:szCs w:val="24"/>
        </w:rPr>
        <w:t xml:space="preserve">государственного </w:t>
      </w:r>
      <w:r w:rsidRPr="009A62ED">
        <w:rPr>
          <w:szCs w:val="24"/>
        </w:rPr>
        <w:t>контракта. Доставка осуществляется за счет средств Исполнителя.</w:t>
      </w:r>
    </w:p>
    <w:p w:rsidR="007874E8" w:rsidRPr="009A62ED" w:rsidRDefault="007874E8" w:rsidP="007874E8">
      <w:pPr>
        <w:spacing w:after="0" w:line="240" w:lineRule="auto"/>
        <w:ind w:left="0" w:firstLine="0"/>
        <w:rPr>
          <w:szCs w:val="24"/>
        </w:rPr>
      </w:pPr>
      <w:r w:rsidRPr="009A62ED">
        <w:rPr>
          <w:szCs w:val="24"/>
        </w:rPr>
        <w:t>Исполнитель обязан информировать Заказчика о невозможности доставки Изделия Получателю не позднее рабочего дня, следующего за днем доставки, согласованным с Получателем.</w:t>
      </w:r>
    </w:p>
    <w:p w:rsidR="007874E8" w:rsidRPr="009A62ED" w:rsidRDefault="007874E8" w:rsidP="007874E8">
      <w:pPr>
        <w:numPr>
          <w:ilvl w:val="0"/>
          <w:numId w:val="9"/>
        </w:numPr>
        <w:spacing w:after="0" w:line="240" w:lineRule="auto"/>
        <w:ind w:left="0" w:firstLine="0"/>
        <w:rPr>
          <w:szCs w:val="24"/>
        </w:rPr>
      </w:pPr>
      <w:r w:rsidRPr="009A62ED">
        <w:rPr>
          <w:szCs w:val="24"/>
        </w:rPr>
        <w:t xml:space="preserve">С целью подтверждения соответствия Изделия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Изделия и соответствия пункта (пунктов) приема требованиям технического задания. При проведении проверки Заказчик вправе осуществлять </w:t>
      </w:r>
      <w:proofErr w:type="spellStart"/>
      <w:r w:rsidRPr="009A62ED">
        <w:rPr>
          <w:szCs w:val="24"/>
        </w:rPr>
        <w:t>фотофиксацию</w:t>
      </w:r>
      <w:proofErr w:type="spellEnd"/>
      <w:r w:rsidRPr="009A62ED">
        <w:rPr>
          <w:szCs w:val="24"/>
        </w:rPr>
        <w:t xml:space="preserve"> и/или видеозапись.</w:t>
      </w:r>
    </w:p>
    <w:p w:rsidR="00304BB6" w:rsidRDefault="007874E8" w:rsidP="00837ECB">
      <w:pPr>
        <w:numPr>
          <w:ilvl w:val="0"/>
          <w:numId w:val="9"/>
        </w:numPr>
        <w:spacing w:after="0" w:line="240" w:lineRule="auto"/>
        <w:ind w:left="0" w:firstLine="0"/>
      </w:pPr>
      <w:r w:rsidRPr="007874E8">
        <w:rPr>
          <w:szCs w:val="24"/>
        </w:rPr>
        <w:t xml:space="preserve">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r w:rsidRPr="007874E8">
        <w:rPr>
          <w:szCs w:val="24"/>
          <w:u w:val="single" w:color="000000"/>
        </w:rPr>
        <w:t>vred@78.sfr.gov.ru.</w:t>
      </w:r>
    </w:p>
    <w:sectPr w:rsidR="00304BB6">
      <w:pgSz w:w="11906" w:h="16838"/>
      <w:pgMar w:top="1134" w:right="680"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51763A"/>
    <w:multiLevelType w:val="hybridMultilevel"/>
    <w:tmpl w:val="CEF4F342"/>
    <w:lvl w:ilvl="0" w:tplc="D0F6EA5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BCDAA8">
      <w:start w:val="1"/>
      <w:numFmt w:val="bullet"/>
      <w:lvlText w:val="o"/>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8E9814">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7A24">
      <w:start w:val="1"/>
      <w:numFmt w:val="bullet"/>
      <w:lvlText w:val="•"/>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6612E0">
      <w:start w:val="1"/>
      <w:numFmt w:val="bullet"/>
      <w:lvlText w:val="o"/>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68030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3AA6E8">
      <w:start w:val="1"/>
      <w:numFmt w:val="bullet"/>
      <w:lvlText w:val="•"/>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2B91A">
      <w:start w:val="1"/>
      <w:numFmt w:val="bullet"/>
      <w:lvlText w:val="o"/>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A65A4">
      <w:start w:val="1"/>
      <w:numFmt w:val="bullet"/>
      <w:lvlText w:val="▪"/>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F933D8A"/>
    <w:multiLevelType w:val="hybridMultilevel"/>
    <w:tmpl w:val="3BF6D71C"/>
    <w:lvl w:ilvl="0" w:tplc="FDF4396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A0A804">
      <w:start w:val="1"/>
      <w:numFmt w:val="bullet"/>
      <w:lvlText w:val="o"/>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EC4880">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328E4A">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46BC04">
      <w:start w:val="1"/>
      <w:numFmt w:val="bullet"/>
      <w:lvlText w:val="o"/>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08B5DC">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26C29A">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04E050">
      <w:start w:val="1"/>
      <w:numFmt w:val="bullet"/>
      <w:lvlText w:val="o"/>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CA93BA">
      <w:start w:val="1"/>
      <w:numFmt w:val="bullet"/>
      <w:lvlText w:val="▪"/>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2916CAE"/>
    <w:multiLevelType w:val="hybridMultilevel"/>
    <w:tmpl w:val="3E78E41C"/>
    <w:lvl w:ilvl="0" w:tplc="C3C4A840">
      <w:start w:val="5"/>
      <w:numFmt w:val="decimal"/>
      <w:lvlText w:val="%1."/>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D4D8C6">
      <w:start w:val="1"/>
      <w:numFmt w:val="lowerLetter"/>
      <w:lvlText w:val="%2"/>
      <w:lvlJc w:val="left"/>
      <w:pPr>
        <w:ind w:left="1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62D504">
      <w:start w:val="1"/>
      <w:numFmt w:val="lowerRoman"/>
      <w:lvlText w:val="%3"/>
      <w:lvlJc w:val="left"/>
      <w:pPr>
        <w:ind w:left="2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360FEC">
      <w:start w:val="1"/>
      <w:numFmt w:val="decimal"/>
      <w:lvlText w:val="%4"/>
      <w:lvlJc w:val="left"/>
      <w:pPr>
        <w:ind w:left="3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52892C">
      <w:start w:val="1"/>
      <w:numFmt w:val="lowerLetter"/>
      <w:lvlText w:val="%5"/>
      <w:lvlJc w:val="left"/>
      <w:pPr>
        <w:ind w:left="4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417CA">
      <w:start w:val="1"/>
      <w:numFmt w:val="lowerRoman"/>
      <w:lvlText w:val="%6"/>
      <w:lvlJc w:val="left"/>
      <w:pPr>
        <w:ind w:left="4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C23E6C">
      <w:start w:val="1"/>
      <w:numFmt w:val="decimal"/>
      <w:lvlText w:val="%7"/>
      <w:lvlJc w:val="left"/>
      <w:pPr>
        <w:ind w:left="5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A02538">
      <w:start w:val="1"/>
      <w:numFmt w:val="lowerLetter"/>
      <w:lvlText w:val="%8"/>
      <w:lvlJc w:val="left"/>
      <w:pPr>
        <w:ind w:left="6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AE2302">
      <w:start w:val="1"/>
      <w:numFmt w:val="lowerRoman"/>
      <w:lvlText w:val="%9"/>
      <w:lvlJc w:val="left"/>
      <w:pPr>
        <w:ind w:left="6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560293B"/>
    <w:multiLevelType w:val="multilevel"/>
    <w:tmpl w:val="D3FE2EE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321222B7"/>
    <w:multiLevelType w:val="hybridMultilevel"/>
    <w:tmpl w:val="E27C6EAC"/>
    <w:lvl w:ilvl="0" w:tplc="1E029440">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34A7EA">
      <w:start w:val="1"/>
      <w:numFmt w:val="bullet"/>
      <w:lvlText w:val="o"/>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FE2850">
      <w:start w:val="1"/>
      <w:numFmt w:val="bullet"/>
      <w:lvlText w:val="▪"/>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2E7CE">
      <w:start w:val="1"/>
      <w:numFmt w:val="bullet"/>
      <w:lvlText w:val="•"/>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0A41E2">
      <w:start w:val="1"/>
      <w:numFmt w:val="bullet"/>
      <w:lvlText w:val="o"/>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B48B64">
      <w:start w:val="1"/>
      <w:numFmt w:val="bullet"/>
      <w:lvlText w:val="▪"/>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F8F660">
      <w:start w:val="1"/>
      <w:numFmt w:val="bullet"/>
      <w:lvlText w:val="•"/>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143CA6">
      <w:start w:val="1"/>
      <w:numFmt w:val="bullet"/>
      <w:lvlText w:val="o"/>
      <w:lvlJc w:val="left"/>
      <w:pPr>
        <w:ind w:left="6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2AFB7A">
      <w:start w:val="1"/>
      <w:numFmt w:val="bullet"/>
      <w:lvlText w:val="▪"/>
      <w:lvlJc w:val="left"/>
      <w:pPr>
        <w:ind w:left="6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09A2305"/>
    <w:multiLevelType w:val="multilevel"/>
    <w:tmpl w:val="5130072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A07307F"/>
    <w:multiLevelType w:val="multilevel"/>
    <w:tmpl w:val="43B26158"/>
    <w:lvl w:ilvl="0">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634C1BEA"/>
    <w:multiLevelType w:val="hybridMultilevel"/>
    <w:tmpl w:val="279E445E"/>
    <w:lvl w:ilvl="0" w:tplc="26340094">
      <w:start w:val="4"/>
      <w:numFmt w:val="decimal"/>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A45D82">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10B476">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A2BC4">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124D82">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1EB89E">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7E6BC6">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FA194A">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52D2CC">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74ED0A02"/>
    <w:multiLevelType w:val="multilevel"/>
    <w:tmpl w:val="317E1F20"/>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9"/>
  </w:num>
  <w:num w:numId="4">
    <w:abstractNumId w:val="6"/>
  </w:num>
  <w:num w:numId="5">
    <w:abstractNumId w:val="1"/>
  </w:num>
  <w:num w:numId="6">
    <w:abstractNumId w:val="8"/>
  </w:num>
  <w:num w:numId="7">
    <w:abstractNumId w:val="5"/>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E8"/>
    <w:rsid w:val="0002061C"/>
    <w:rsid w:val="00306B50"/>
    <w:rsid w:val="00621619"/>
    <w:rsid w:val="006C786A"/>
    <w:rsid w:val="007874E8"/>
    <w:rsid w:val="008E0768"/>
    <w:rsid w:val="00D7445E"/>
    <w:rsid w:val="00E30DC0"/>
    <w:rsid w:val="00E47FFC"/>
    <w:rsid w:val="00ED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497AF-8A9B-47D8-933F-079201D3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4E8"/>
    <w:pPr>
      <w:spacing w:after="3" w:line="249" w:lineRule="auto"/>
      <w:ind w:left="150"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874E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hyperlink" Target="http://docs.cntd.ru/document/542620598" TargetMode="Externa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29" Type="http://schemas.openxmlformats.org/officeDocument/2006/relationships/hyperlink" Target="http://base.garant.ru/71145140/"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28" Type="http://schemas.openxmlformats.org/officeDocument/2006/relationships/hyperlink" Target="http://base.garant.ru/71145140/f7ee959fd36b5699076b35abf4f52c5c/"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hyperlink" Target="http://base.garant.ru/71145140/53f89421bbdaf741eb2d1ecc4ddb4c3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4440</Words>
  <Characters>25309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8</cp:revision>
  <dcterms:created xsi:type="dcterms:W3CDTF">2024-11-26T14:34:00Z</dcterms:created>
  <dcterms:modified xsi:type="dcterms:W3CDTF">2024-12-25T12:57:00Z</dcterms:modified>
</cp:coreProperties>
</file>