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74BFB" w:rsidRPr="004D27DD" w:rsidRDefault="00846446" w:rsidP="004D27DD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C05CCC" w:rsidRPr="006C1574" w:rsidRDefault="00C05CCC" w:rsidP="00C05CCC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6C1574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902C8B" w:rsidRDefault="00902C8B" w:rsidP="00902C8B">
      <w:pPr>
        <w:ind w:firstLine="708"/>
        <w:jc w:val="center"/>
        <w:rPr>
          <w:b/>
          <w:sz w:val="22"/>
          <w:szCs w:val="22"/>
        </w:rPr>
      </w:pPr>
    </w:p>
    <w:p w:rsidR="00902C8B" w:rsidRPr="00933349" w:rsidRDefault="00902C8B" w:rsidP="00902C8B">
      <w:pPr>
        <w:ind w:firstLine="708"/>
        <w:jc w:val="center"/>
        <w:rPr>
          <w:b/>
        </w:rPr>
      </w:pPr>
      <w:r w:rsidRPr="00933349">
        <w:rPr>
          <w:b/>
        </w:rPr>
        <w:t xml:space="preserve">Наименование объекта закупки: Выполнение </w:t>
      </w:r>
      <w:r w:rsidR="00933349" w:rsidRPr="00933349">
        <w:rPr>
          <w:b/>
        </w:rPr>
        <w:t>работ по индивидуальному изготовлению протеза бедра модульного с микропроцессорным управлением в целях социального обеспечения граждан в 2025 году</w:t>
      </w:r>
    </w:p>
    <w:p w:rsidR="00902C8B" w:rsidRDefault="00902C8B" w:rsidP="006A4A13">
      <w:pPr>
        <w:ind w:right="-712"/>
        <w:rPr>
          <w:b/>
        </w:rPr>
      </w:pPr>
    </w:p>
    <w:tbl>
      <w:tblPr>
        <w:tblW w:w="9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3"/>
        <w:gridCol w:w="983"/>
        <w:gridCol w:w="2142"/>
        <w:gridCol w:w="4071"/>
        <w:gridCol w:w="1134"/>
        <w:gridCol w:w="963"/>
      </w:tblGrid>
      <w:tr w:rsidR="00933349" w:rsidRPr="00D8233F" w:rsidTr="00933349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D8233F" w:rsidRDefault="00933349" w:rsidP="00A0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33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8233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8233F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D8233F" w:rsidRDefault="00933349" w:rsidP="00A0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33F">
              <w:rPr>
                <w:b/>
                <w:bCs/>
                <w:color w:val="000000"/>
                <w:sz w:val="20"/>
                <w:szCs w:val="20"/>
              </w:rPr>
              <w:t>Номер вида ТСР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D8233F" w:rsidRDefault="00933349" w:rsidP="00A03C0B">
            <w:pPr>
              <w:jc w:val="center"/>
              <w:rPr>
                <w:b/>
                <w:bCs/>
                <w:sz w:val="20"/>
                <w:szCs w:val="20"/>
              </w:rPr>
            </w:pPr>
            <w:r w:rsidRPr="00D8233F">
              <w:rPr>
                <w:b/>
                <w:bCs/>
                <w:sz w:val="20"/>
                <w:szCs w:val="20"/>
              </w:rPr>
              <w:t>вид и наименование изделия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D8233F" w:rsidRDefault="00933349" w:rsidP="00A0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33F">
              <w:rPr>
                <w:b/>
                <w:bCs/>
                <w:color w:val="000000"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349" w:rsidRPr="00D8233F" w:rsidRDefault="00933349" w:rsidP="00A0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33F">
              <w:rPr>
                <w:b/>
                <w:bCs/>
                <w:color w:val="000000"/>
                <w:sz w:val="20"/>
                <w:szCs w:val="20"/>
              </w:rPr>
              <w:t xml:space="preserve">Единицы измерения,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349" w:rsidRPr="00D8233F" w:rsidRDefault="00933349" w:rsidP="00A03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233F">
              <w:rPr>
                <w:b/>
                <w:bCs/>
                <w:color w:val="000000"/>
                <w:sz w:val="20"/>
                <w:szCs w:val="20"/>
              </w:rPr>
              <w:t>Количество изделий</w:t>
            </w:r>
          </w:p>
        </w:tc>
      </w:tr>
      <w:tr w:rsidR="00933349" w:rsidRPr="00D8233F" w:rsidTr="00933349">
        <w:trPr>
          <w:trHeight w:val="12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D8233F" w:rsidRDefault="00933349" w:rsidP="00A03C0B">
            <w:pPr>
              <w:jc w:val="center"/>
              <w:rPr>
                <w:color w:val="000000"/>
                <w:sz w:val="20"/>
                <w:szCs w:val="20"/>
              </w:rPr>
            </w:pPr>
            <w:r w:rsidRPr="00D823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A51AF8" w:rsidRDefault="00933349" w:rsidP="00A03C0B">
            <w:pPr>
              <w:jc w:val="center"/>
              <w:rPr>
                <w:color w:val="000000"/>
              </w:rPr>
            </w:pPr>
            <w:r w:rsidRPr="002750A5">
              <w:rPr>
                <w:color w:val="000000"/>
                <w:sz w:val="18"/>
                <w:szCs w:val="18"/>
              </w:rPr>
              <w:t>8-07-1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349" w:rsidRPr="00A51AF8" w:rsidRDefault="00933349" w:rsidP="00A03C0B">
            <w:r w:rsidRPr="00A51AF8">
              <w:t xml:space="preserve">Протез </w:t>
            </w:r>
            <w:r>
              <w:t xml:space="preserve">бедра </w:t>
            </w:r>
            <w:r w:rsidRPr="00A51AF8">
              <w:t>модульный</w:t>
            </w:r>
            <w:r>
              <w:t xml:space="preserve"> с микропроцессорным управлением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349" w:rsidRPr="00D8233F" w:rsidRDefault="00933349" w:rsidP="00BB772A">
            <w:pPr>
              <w:jc w:val="both"/>
              <w:rPr>
                <w:sz w:val="20"/>
                <w:szCs w:val="20"/>
              </w:rPr>
            </w:pPr>
            <w:r>
              <w:t>Протез бедра модульный с микропроцессорным управлением.</w:t>
            </w:r>
            <w:r w:rsidR="00BB772A">
              <w:t xml:space="preserve"> </w:t>
            </w:r>
            <w:bookmarkStart w:id="0" w:name="_GoBack"/>
            <w:r>
              <w:t>Приемная гильза: индивидуальная по гипсовому слепку с культи пациента, комбинированная несущая гильза жесткая, внутренняя – полужесткая. Коленный модуль с микропроцессорным управлением, влагозащищенный.</w:t>
            </w:r>
            <w:r w:rsidR="00BB772A">
              <w:t xml:space="preserve"> </w:t>
            </w:r>
            <w:r>
              <w:t xml:space="preserve">Стопа из композиционных </w:t>
            </w:r>
            <w:r w:rsidR="00BB772A">
              <w:t xml:space="preserve">материалов (энергосберегающая), </w:t>
            </w:r>
            <w:r>
              <w:t>соответствующая уровню активности и массе тела пациента.</w:t>
            </w:r>
            <w:r w:rsidR="00BB772A">
              <w:t xml:space="preserve"> </w:t>
            </w:r>
            <w:r>
              <w:t>Торсионное устройство. Замок полиме</w:t>
            </w:r>
            <w:r w:rsidR="00BB772A">
              <w:t>рного чехла. Жесткая облицовка.</w:t>
            </w:r>
            <w:bookmarkEnd w:id="0"/>
            <w:r w:rsidR="00BB772A">
              <w:t xml:space="preserve"> </w:t>
            </w:r>
            <w:r>
              <w:t>Протезирование повторное, состояние культ</w:t>
            </w:r>
            <w:proofErr w:type="gramStart"/>
            <w:r>
              <w:t>и-</w:t>
            </w:r>
            <w:proofErr w:type="gramEnd"/>
            <w:r>
              <w:t xml:space="preserve"> функциональная, уровень активности 3-4.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349" w:rsidRPr="00933349" w:rsidRDefault="00933349" w:rsidP="00A03C0B">
            <w:pPr>
              <w:jc w:val="center"/>
            </w:pPr>
            <w:r w:rsidRPr="00933349">
              <w:t>штука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349" w:rsidRPr="00933349" w:rsidRDefault="00933349" w:rsidP="00A03C0B">
            <w:pPr>
              <w:ind w:right="629"/>
              <w:jc w:val="center"/>
            </w:pPr>
            <w:r w:rsidRPr="00933349">
              <w:t>1</w:t>
            </w:r>
          </w:p>
        </w:tc>
      </w:tr>
    </w:tbl>
    <w:p w:rsidR="00933349" w:rsidRPr="006C1574" w:rsidRDefault="00933349" w:rsidP="00933349">
      <w:pPr>
        <w:rPr>
          <w:rFonts w:eastAsia="Calibri"/>
          <w:b/>
          <w:bCs/>
          <w:color w:val="000000"/>
          <w:lang w:eastAsia="en-US" w:bidi="en-US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 xml:space="preserve">Место выполнения работ: </w:t>
      </w:r>
      <w:r w:rsidRPr="00FC24F9">
        <w:rPr>
          <w:bCs/>
          <w:spacing w:val="3"/>
        </w:rPr>
        <w:t>Российская Федерация. Прием и осмотр Получателей, выбор конструкции протезно-ортопедического изделия, снятие мерок, слепков, изготовление, примерки, обучение пользованию и выдача готовых к эксплуатации изделий, а также гарантийное сервисное обслуживание, в том числе в условиях специализированного стационара Исполнителя (Соисполнителя) находящиеся по адресу, указанному в лицензии Исполнителя (Соисполнителя) осуществляется на территории Ямало-Ненецкого автономного округа или Тюменской области.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proofErr w:type="gramStart"/>
      <w:r w:rsidRPr="00FC24F9">
        <w:rPr>
          <w:bCs/>
          <w:spacing w:val="3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«Доступная среда», Приказа Министерства труда и социальной защиты Российской Федерации от 30 июля 2015</w:t>
      </w:r>
      <w:proofErr w:type="gramEnd"/>
      <w:r w:rsidRPr="00FC24F9">
        <w:rPr>
          <w:bCs/>
          <w:spacing w:val="3"/>
        </w:rPr>
        <w:t xml:space="preserve">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 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  <w:r w:rsidRPr="00FC24F9">
        <w:rPr>
          <w:b/>
          <w:bCs/>
          <w:spacing w:val="3"/>
        </w:rPr>
        <w:t xml:space="preserve">Срок выполнения работ: </w:t>
      </w:r>
      <w:r w:rsidRPr="00FC24F9">
        <w:rPr>
          <w:bCs/>
          <w:spacing w:val="3"/>
        </w:rPr>
        <w:t xml:space="preserve">работы должны быть выполнены в срок не более 60 дней со дня обращения </w:t>
      </w:r>
      <w:r w:rsidR="008443A5" w:rsidRPr="008443A5">
        <w:rPr>
          <w:bCs/>
          <w:spacing w:val="3"/>
        </w:rPr>
        <w:t>Получателя с Направлением Заказчика к Исполнителю</w:t>
      </w:r>
      <w:r w:rsidRPr="00FC24F9">
        <w:rPr>
          <w:bCs/>
          <w:spacing w:val="3"/>
        </w:rPr>
        <w:t xml:space="preserve">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 xml:space="preserve">Условия выполнения работ: </w:t>
      </w:r>
      <w:r w:rsidRPr="00FC24F9">
        <w:rPr>
          <w:bCs/>
          <w:spacing w:val="3"/>
        </w:rPr>
        <w:t xml:space="preserve">Протез нижней конечности – техническое средство реабилитации, заменяющее частично или полностью отсутствующую (имеющую врожденные </w:t>
      </w:r>
      <w:r w:rsidRPr="00FC24F9">
        <w:rPr>
          <w:bCs/>
          <w:spacing w:val="3"/>
        </w:rPr>
        <w:lastRenderedPageBreak/>
        <w:t>дефекты) нижнюю конечность и служащее для восполнения косметического и (или) функционального дефекта.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ведение журнала телефонных звонков Получателей;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информирование Получателей о дате, времени и месте выдачи;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proofErr w:type="gramStart"/>
      <w:r w:rsidRPr="00FC24F9">
        <w:rPr>
          <w:bCs/>
          <w:spacing w:val="3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  <w:proofErr w:type="gramEnd"/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предоставить Заказчику фотоотчет или видеоотчет передачи протезно-ортопедических изделий Получателям.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>Требования к качеству, техническим и функциональным характеристикам выполнения работ по изготовлению:</w:t>
      </w:r>
      <w:r>
        <w:rPr>
          <w:b/>
          <w:bCs/>
          <w:spacing w:val="3"/>
        </w:rPr>
        <w:t xml:space="preserve"> </w:t>
      </w:r>
      <w:r w:rsidRPr="00FC24F9">
        <w:rPr>
          <w:b/>
          <w:bCs/>
          <w:spacing w:val="3"/>
        </w:rPr>
        <w:t xml:space="preserve"> </w:t>
      </w:r>
      <w:proofErr w:type="gramStart"/>
      <w:r w:rsidRPr="00FC24F9">
        <w:rPr>
          <w:bCs/>
          <w:spacing w:val="3"/>
        </w:rPr>
        <w:t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</w:t>
      </w:r>
      <w:proofErr w:type="gramEnd"/>
      <w:r w:rsidRPr="00FC24F9">
        <w:rPr>
          <w:bCs/>
          <w:spacing w:val="3"/>
        </w:rPr>
        <w:t xml:space="preserve"> уровень двигательной активности и иные значимые для целей реабилитации </w:t>
      </w:r>
      <w:proofErr w:type="gramStart"/>
      <w:r w:rsidRPr="00FC24F9">
        <w:rPr>
          <w:bCs/>
          <w:spacing w:val="3"/>
        </w:rPr>
        <w:t>медико-социальные</w:t>
      </w:r>
      <w:proofErr w:type="gramEnd"/>
      <w:r w:rsidRPr="00FC24F9">
        <w:rPr>
          <w:bCs/>
          <w:spacing w:val="3"/>
        </w:rPr>
        <w:t xml:space="preserve"> аспекты.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С учетом уровня ампутации и модулирования, применяемого в протезировании:  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lastRenderedPageBreak/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Материалы приемных гильз, контактирующих с телом человека, должны быть разрешены к применению Минздравом России.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Узлы протезов должны быть стойкими к воздействию физиологических растворов (пота, мочи).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Протезы конечностей должны соответствовать требованиям 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ИСО 22523-2007 «Протезы конечностей и </w:t>
      </w:r>
      <w:proofErr w:type="spellStart"/>
      <w:r w:rsidRPr="00FC24F9">
        <w:rPr>
          <w:bCs/>
          <w:spacing w:val="3"/>
        </w:rPr>
        <w:t>ортезы</w:t>
      </w:r>
      <w:proofErr w:type="spellEnd"/>
      <w:r w:rsidRPr="00FC24F9">
        <w:rPr>
          <w:bCs/>
          <w:spacing w:val="3"/>
        </w:rPr>
        <w:t xml:space="preserve"> наружные. Требования и методы испытаний», 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51819-2022 «Протезирование и </w:t>
      </w:r>
      <w:proofErr w:type="spellStart"/>
      <w:r w:rsidRPr="00FC24F9">
        <w:rPr>
          <w:bCs/>
          <w:spacing w:val="3"/>
        </w:rPr>
        <w:t>ортезирование</w:t>
      </w:r>
      <w:proofErr w:type="spellEnd"/>
      <w:r w:rsidRPr="00FC24F9">
        <w:rPr>
          <w:bCs/>
          <w:spacing w:val="3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Исполнитель подтверждает качество изготавливаемых протезов нижних конечностей в соответствии с законодательством Российской Федерации.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59542-2021 и организовать выдачу технического средства реабилитации.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В соответствии с «ГОСТ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В целях подтверждения проведенного обучения должно быть предусмотрено условие об обязанности исполнителя (подрядчика) составить в соответствии с требованиями пункта 4.6 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59542-2021 заключение о проведенном курсе</w:t>
      </w:r>
      <w:r w:rsidRPr="00FC24F9">
        <w:rPr>
          <w:b/>
          <w:bCs/>
          <w:spacing w:val="3"/>
        </w:rPr>
        <w:t xml:space="preserve"> </w:t>
      </w:r>
      <w:r w:rsidRPr="00FC24F9">
        <w:rPr>
          <w:bCs/>
          <w:spacing w:val="3"/>
        </w:rPr>
        <w:t xml:space="preserve">обучения и достигнутом медицинском 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приема передачи изделия получателю. 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>Требования к безопасности работ</w:t>
      </w:r>
      <w:r>
        <w:rPr>
          <w:b/>
          <w:bCs/>
          <w:spacing w:val="3"/>
        </w:rPr>
        <w:t xml:space="preserve">: </w:t>
      </w:r>
      <w:r w:rsidRPr="00FC24F9">
        <w:rPr>
          <w:bCs/>
          <w:spacing w:val="3"/>
        </w:rPr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Изготовитель должен установить средства, с помощью которых поверхности протезного устройства могут быть очищены или продезинфицированы.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>Требования к результатам работы:</w:t>
      </w:r>
      <w:r>
        <w:rPr>
          <w:b/>
          <w:bCs/>
          <w:spacing w:val="3"/>
        </w:rPr>
        <w:t xml:space="preserve"> </w:t>
      </w:r>
      <w:r w:rsidRPr="00FC24F9">
        <w:rPr>
          <w:bCs/>
          <w:spacing w:val="3"/>
        </w:rPr>
        <w:t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lastRenderedPageBreak/>
        <w:t>Требования к сроку и (или) объему предоставленных гарантий качества выполнения работ</w:t>
      </w:r>
      <w:r>
        <w:rPr>
          <w:b/>
          <w:bCs/>
          <w:spacing w:val="3"/>
        </w:rPr>
        <w:t xml:space="preserve">: </w:t>
      </w:r>
      <w:r w:rsidRPr="00FC24F9">
        <w:rPr>
          <w:bCs/>
          <w:spacing w:val="3"/>
        </w:rPr>
        <w:t>Изделия не должны иметь дефектов, связанных с материалами или качеством изготовления, либо проявляющихся в результате использования в обычных условиях.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Использование изделий не должно создавать угрозы для жизни и здоровья потребителей, окружающей среды. Использование изделий не должно причинять вред имуществу пользователя при его эксплуатации.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В течение этого срока предприятие-изготовитель обязано производить замену или ремонт изделия бесплатно.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Замена приемных гильз на лечебно-тренировочные протезы производится по медицинским показаниям - до 3-х раз в год.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Гарантия не распространятся на изделия, вышедшие из строя не по вине производителя (несоблюдение инструкций изготовителя, изменение объемных размеров культи получателя).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 xml:space="preserve">Осуществление гарантийного обслуживания протезов предусматривает 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гарантийного обслуживание изделиях. В гарантийных талонах должны быть указаны адреса и режим работы пункта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FC24F9">
        <w:rPr>
          <w:bCs/>
          <w:spacing w:val="3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FC24F9">
        <w:rPr>
          <w:bCs/>
          <w:spacing w:val="3"/>
        </w:rPr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Cs/>
          <w:spacing w:val="3"/>
        </w:rPr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33349" w:rsidRPr="00FC24F9" w:rsidRDefault="00933349" w:rsidP="00933349">
      <w:pPr>
        <w:ind w:firstLine="709"/>
        <w:jc w:val="both"/>
        <w:rPr>
          <w:b/>
          <w:bCs/>
          <w:spacing w:val="3"/>
        </w:rPr>
      </w:pPr>
    </w:p>
    <w:p w:rsidR="00933349" w:rsidRPr="00FC24F9" w:rsidRDefault="00933349" w:rsidP="00933349">
      <w:pPr>
        <w:ind w:firstLine="709"/>
        <w:jc w:val="both"/>
        <w:rPr>
          <w:bCs/>
          <w:spacing w:val="3"/>
        </w:rPr>
      </w:pPr>
      <w:r w:rsidRPr="00FC24F9">
        <w:rPr>
          <w:b/>
          <w:bCs/>
          <w:spacing w:val="3"/>
        </w:rPr>
        <w:t>Требования к маркировке, упаковке, транспортированию и хранению</w:t>
      </w:r>
      <w:r>
        <w:rPr>
          <w:b/>
          <w:bCs/>
          <w:spacing w:val="3"/>
        </w:rPr>
        <w:t xml:space="preserve">: </w:t>
      </w:r>
      <w:r w:rsidRPr="00FC24F9">
        <w:rPr>
          <w:bCs/>
          <w:spacing w:val="3"/>
        </w:rPr>
        <w:t xml:space="preserve">Маркировка, упаковка и хранение протезов должны осуществляться с соблюдением требований ГОСТ </w:t>
      </w:r>
      <w:proofErr w:type="gramStart"/>
      <w:r w:rsidRPr="00FC24F9">
        <w:rPr>
          <w:bCs/>
          <w:spacing w:val="3"/>
        </w:rPr>
        <w:t>Р</w:t>
      </w:r>
      <w:proofErr w:type="gramEnd"/>
      <w:r w:rsidRPr="00FC24F9">
        <w:rPr>
          <w:bCs/>
          <w:spacing w:val="3"/>
        </w:rPr>
        <w:t xml:space="preserve"> ИСО 22523-2007 «Протезы конечностей и </w:t>
      </w:r>
      <w:proofErr w:type="spellStart"/>
      <w:r w:rsidRPr="00FC24F9">
        <w:rPr>
          <w:bCs/>
          <w:spacing w:val="3"/>
        </w:rPr>
        <w:t>ортезы</w:t>
      </w:r>
      <w:proofErr w:type="spellEnd"/>
      <w:r w:rsidRPr="00FC24F9">
        <w:rPr>
          <w:bCs/>
          <w:spacing w:val="3"/>
        </w:rPr>
        <w:t xml:space="preserve"> наружные. Требования и методы испытаний» (раздел 13.2 «Маркировка», раздел 14 «Упаковка»). </w:t>
      </w:r>
    </w:p>
    <w:p w:rsidR="00933349" w:rsidRPr="00FC24F9" w:rsidRDefault="00933349" w:rsidP="00933349">
      <w:pPr>
        <w:ind w:firstLine="709"/>
        <w:jc w:val="both"/>
      </w:pPr>
      <w:r w:rsidRPr="00FC24F9">
        <w:rPr>
          <w:bCs/>
          <w:spacing w:val="3"/>
        </w:rPr>
        <w:t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</w:t>
      </w:r>
      <w:r>
        <w:rPr>
          <w:bCs/>
          <w:spacing w:val="3"/>
        </w:rPr>
        <w:t xml:space="preserve">. </w:t>
      </w:r>
      <w:r w:rsidRPr="00FC24F9">
        <w:rPr>
          <w:bCs/>
          <w:spacing w:val="3"/>
        </w:rPr>
        <w:t xml:space="preserve"> </w:t>
      </w: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autoSpaceDE w:val="0"/>
        <w:autoSpaceDN w:val="0"/>
        <w:adjustRightInd w:val="0"/>
        <w:spacing w:line="232" w:lineRule="auto"/>
        <w:ind w:firstLine="708"/>
        <w:jc w:val="both"/>
        <w:rPr>
          <w:sz w:val="22"/>
          <w:szCs w:val="22"/>
        </w:rPr>
      </w:pPr>
    </w:p>
    <w:p w:rsidR="00902C8B" w:rsidRPr="006A4A13" w:rsidRDefault="00902C8B" w:rsidP="00902C8B">
      <w:pPr>
        <w:ind w:right="-712"/>
        <w:jc w:val="center"/>
        <w:rPr>
          <w:b/>
          <w:sz w:val="22"/>
          <w:szCs w:val="22"/>
        </w:rPr>
      </w:pPr>
    </w:p>
    <w:sectPr w:rsidR="00902C8B" w:rsidRPr="006A4A13" w:rsidSect="009333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8B" w:rsidRDefault="00902C8B" w:rsidP="00902C8B">
      <w:r>
        <w:separator/>
      </w:r>
    </w:p>
  </w:endnote>
  <w:endnote w:type="continuationSeparator" w:id="0">
    <w:p w:rsidR="00902C8B" w:rsidRDefault="00902C8B" w:rsidP="009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8B" w:rsidRDefault="00902C8B" w:rsidP="00902C8B">
      <w:r>
        <w:separator/>
      </w:r>
    </w:p>
  </w:footnote>
  <w:footnote w:type="continuationSeparator" w:id="0">
    <w:p w:rsidR="00902C8B" w:rsidRDefault="00902C8B" w:rsidP="0090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355F"/>
    <w:rsid w:val="00244513"/>
    <w:rsid w:val="002638B6"/>
    <w:rsid w:val="002750A5"/>
    <w:rsid w:val="002D33ED"/>
    <w:rsid w:val="002F1A94"/>
    <w:rsid w:val="00311141"/>
    <w:rsid w:val="003347C1"/>
    <w:rsid w:val="003673B7"/>
    <w:rsid w:val="00371F99"/>
    <w:rsid w:val="00381214"/>
    <w:rsid w:val="004222D0"/>
    <w:rsid w:val="00455A41"/>
    <w:rsid w:val="004952E9"/>
    <w:rsid w:val="004D27DD"/>
    <w:rsid w:val="004F47D3"/>
    <w:rsid w:val="0051161D"/>
    <w:rsid w:val="00544F2A"/>
    <w:rsid w:val="005456DC"/>
    <w:rsid w:val="00574BFB"/>
    <w:rsid w:val="0057764D"/>
    <w:rsid w:val="005A7787"/>
    <w:rsid w:val="00601C06"/>
    <w:rsid w:val="00627BED"/>
    <w:rsid w:val="0063049D"/>
    <w:rsid w:val="0067545D"/>
    <w:rsid w:val="00682CFA"/>
    <w:rsid w:val="006A4A13"/>
    <w:rsid w:val="006F3693"/>
    <w:rsid w:val="007119BA"/>
    <w:rsid w:val="007121D1"/>
    <w:rsid w:val="00723A76"/>
    <w:rsid w:val="007422C3"/>
    <w:rsid w:val="007D2850"/>
    <w:rsid w:val="007E3BBC"/>
    <w:rsid w:val="00812BBA"/>
    <w:rsid w:val="00815E52"/>
    <w:rsid w:val="008443A5"/>
    <w:rsid w:val="00846446"/>
    <w:rsid w:val="008668ED"/>
    <w:rsid w:val="00884AF1"/>
    <w:rsid w:val="008C3515"/>
    <w:rsid w:val="00902C8B"/>
    <w:rsid w:val="00911ED0"/>
    <w:rsid w:val="00927900"/>
    <w:rsid w:val="00933349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B5F46"/>
    <w:rsid w:val="00BB772A"/>
    <w:rsid w:val="00BD7A7E"/>
    <w:rsid w:val="00BF605C"/>
    <w:rsid w:val="00C05CCC"/>
    <w:rsid w:val="00C73055"/>
    <w:rsid w:val="00C83F92"/>
    <w:rsid w:val="00D83248"/>
    <w:rsid w:val="00DA10A7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semiHidden/>
    <w:unhideWhenUsed/>
    <w:rsid w:val="00902C8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02C8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02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6A6C-29C5-4462-87A3-1BE09222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Стулов Григорий Александрович</cp:lastModifiedBy>
  <cp:revision>15</cp:revision>
  <cp:lastPrinted>2023-08-03T05:28:00Z</cp:lastPrinted>
  <dcterms:created xsi:type="dcterms:W3CDTF">2023-10-19T11:25:00Z</dcterms:created>
  <dcterms:modified xsi:type="dcterms:W3CDTF">2024-10-29T11:48:00Z</dcterms:modified>
</cp:coreProperties>
</file>