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F4" w:rsidRPr="00CC2DF4" w:rsidRDefault="00CC2DF4" w:rsidP="00CC2DF4">
      <w:pPr>
        <w:jc w:val="right"/>
      </w:pPr>
      <w:r w:rsidRPr="00CC2DF4">
        <w:t xml:space="preserve">Приложение № 1 </w:t>
      </w:r>
    </w:p>
    <w:p w:rsidR="00CC2DF4" w:rsidRPr="002B2919" w:rsidRDefault="00CC2DF4" w:rsidP="00CC2DF4">
      <w:pPr>
        <w:jc w:val="right"/>
      </w:pPr>
      <w:r w:rsidRPr="00CC2DF4">
        <w:t>к извещению о проведении закупки</w:t>
      </w:r>
    </w:p>
    <w:p w:rsidR="00D5367A" w:rsidRDefault="00D5367A" w:rsidP="00CC2DF4">
      <w:pPr>
        <w:jc w:val="right"/>
      </w:pPr>
    </w:p>
    <w:p w:rsidR="00BB0B3A" w:rsidRPr="00E4239F" w:rsidRDefault="00BB0B3A" w:rsidP="00BB0B3A">
      <w:pPr>
        <w:jc w:val="center"/>
        <w:rPr>
          <w:b/>
          <w:sz w:val="26"/>
          <w:szCs w:val="26"/>
        </w:rPr>
      </w:pPr>
      <w:r w:rsidRPr="00E4239F">
        <w:rPr>
          <w:b/>
          <w:sz w:val="26"/>
          <w:szCs w:val="26"/>
        </w:rPr>
        <w:t xml:space="preserve">Описание объекта закупки (техническое задание) </w:t>
      </w:r>
    </w:p>
    <w:p w:rsidR="00BB0B3A" w:rsidRPr="00E4239F" w:rsidRDefault="00BB0B3A" w:rsidP="00BB0B3A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4239F">
        <w:rPr>
          <w:b/>
          <w:bCs/>
          <w:sz w:val="26"/>
          <w:szCs w:val="26"/>
        </w:rPr>
        <w:t>на выполнение работ по изготовлению туторов на верхние и нижние конечности</w:t>
      </w:r>
      <w:r w:rsidRPr="00E4239F">
        <w:rPr>
          <w:rFonts w:eastAsiaTheme="minorHAnsi"/>
          <w:b/>
          <w:bCs/>
          <w:sz w:val="26"/>
          <w:szCs w:val="26"/>
          <w:lang w:eastAsia="en-US"/>
        </w:rPr>
        <w:t xml:space="preserve"> (дале</w:t>
      </w:r>
      <w:proofErr w:type="gramStart"/>
      <w:r w:rsidRPr="00E4239F">
        <w:rPr>
          <w:rFonts w:eastAsiaTheme="minorHAnsi"/>
          <w:b/>
          <w:bCs/>
          <w:sz w:val="26"/>
          <w:szCs w:val="26"/>
          <w:lang w:eastAsia="en-US"/>
        </w:rPr>
        <w:t>е-</w:t>
      </w:r>
      <w:proofErr w:type="gramEnd"/>
      <w:r w:rsidRPr="00E4239F">
        <w:rPr>
          <w:rFonts w:eastAsiaTheme="minorHAnsi"/>
          <w:b/>
          <w:bCs/>
          <w:sz w:val="26"/>
          <w:szCs w:val="26"/>
          <w:lang w:eastAsia="en-US"/>
        </w:rPr>
        <w:t xml:space="preserve"> Изделия) для социального обеспечения граждан (далее- Получатели) в 2025 году</w:t>
      </w:r>
    </w:p>
    <w:p w:rsidR="00BB0B3A" w:rsidRDefault="00BB0B3A" w:rsidP="00BB0B3A">
      <w:pPr>
        <w:jc w:val="center"/>
        <w:rPr>
          <w:rFonts w:eastAsiaTheme="minorHAnsi"/>
          <w:b/>
          <w:bCs/>
          <w:lang w:eastAsia="en-US"/>
        </w:rPr>
      </w:pP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Срок выполнения работ:</w:t>
      </w:r>
      <w:r>
        <w:rPr>
          <w:sz w:val="26"/>
          <w:szCs w:val="26"/>
        </w:rPr>
        <w:t xml:space="preserve"> со дня, следующего за днем заключения государственного контракта не ранее 09.01.2025, и до 31.08.2025 (включительно).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Сроки завершения работы:</w:t>
      </w:r>
      <w:r>
        <w:rPr>
          <w:sz w:val="26"/>
          <w:szCs w:val="26"/>
        </w:rPr>
        <w:t xml:space="preserve"> 31.08.2025 (включительно).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доставки готовых Изделий:</w:t>
      </w:r>
      <w:r>
        <w:rPr>
          <w:sz w:val="26"/>
          <w:szCs w:val="26"/>
        </w:rPr>
        <w:t xml:space="preserve"> Санкт-Петербург и Ленинградская область.</w:t>
      </w:r>
    </w:p>
    <w:p w:rsidR="00BB0B3A" w:rsidRDefault="00BB0B3A" w:rsidP="00BB0B3A">
      <w:pPr>
        <w:rPr>
          <w:sz w:val="26"/>
          <w:szCs w:val="26"/>
        </w:rPr>
      </w:pPr>
      <w:r>
        <w:rPr>
          <w:b/>
          <w:sz w:val="26"/>
          <w:szCs w:val="26"/>
        </w:rPr>
        <w:t>Место выполнения работ:</w:t>
      </w:r>
      <w:r>
        <w:rPr>
          <w:sz w:val="26"/>
          <w:szCs w:val="26"/>
        </w:rPr>
        <w:t xml:space="preserve"> Российская Федерация.</w:t>
      </w:r>
    </w:p>
    <w:p w:rsidR="00BB0B3A" w:rsidRDefault="00BB0B3A" w:rsidP="00BB0B3A">
      <w:pPr>
        <w:rPr>
          <w:sz w:val="26"/>
          <w:szCs w:val="26"/>
        </w:rPr>
      </w:pPr>
    </w:p>
    <w:p w:rsidR="00BB0B3A" w:rsidRDefault="00BB0B3A" w:rsidP="00BB0B3A">
      <w:pPr>
        <w:ind w:right="-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Функциональные, технические и качественные характеристики Изделий.</w:t>
      </w:r>
    </w:p>
    <w:p w:rsidR="00BB0B3A" w:rsidRDefault="00BB0B3A" w:rsidP="00BB0B3A">
      <w:pPr>
        <w:autoSpaceDE w:val="0"/>
        <w:autoSpaceDN w:val="0"/>
        <w:adjustRightInd w:val="0"/>
        <w:ind w:right="-24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  <w:lang w:eastAsia="en-US"/>
        </w:rPr>
        <w:t>Функциональные и технические характеристики Изделий</w:t>
      </w:r>
      <w:r>
        <w:rPr>
          <w:sz w:val="26"/>
          <w:szCs w:val="26"/>
          <w:lang w:eastAsia="ar-SA"/>
        </w:rPr>
        <w:t>: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48"/>
        <w:gridCol w:w="2268"/>
        <w:gridCol w:w="4394"/>
        <w:gridCol w:w="1418"/>
        <w:gridCol w:w="992"/>
      </w:tblGrid>
      <w:tr w:rsidR="00692C27" w:rsidRPr="00D70CF8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70CF8">
              <w:rPr>
                <w:b/>
                <w:sz w:val="26"/>
                <w:szCs w:val="26"/>
                <w:lang w:eastAsia="en-US"/>
              </w:rPr>
              <w:t>№</w:t>
            </w:r>
          </w:p>
          <w:p w:rsidR="00692C27" w:rsidRPr="00D70CF8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70CF8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70CF8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E4239F">
              <w:rPr>
                <w:b/>
                <w:sz w:val="26"/>
                <w:szCs w:val="26"/>
                <w:lang w:eastAsia="en-US"/>
              </w:rPr>
              <w:t>Наименование Изделия</w:t>
            </w:r>
          </w:p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DD5E77" w:rsidRDefault="00692C27" w:rsidP="00692C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3E38E7">
              <w:rPr>
                <w:b/>
                <w:sz w:val="26"/>
                <w:szCs w:val="26"/>
                <w:lang w:eastAsia="en-US"/>
              </w:rPr>
              <w:t>Наименование Изделия по КТРУ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b/>
                <w:sz w:val="26"/>
                <w:szCs w:val="26"/>
                <w:lang w:eastAsia="en-US"/>
              </w:rPr>
            </w:pPr>
            <w:r w:rsidRPr="00E4239F">
              <w:rPr>
                <w:b/>
                <w:sz w:val="26"/>
                <w:szCs w:val="26"/>
                <w:lang w:eastAsia="en-US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E4239F">
              <w:rPr>
                <w:b/>
                <w:sz w:val="26"/>
                <w:szCs w:val="26"/>
                <w:lang w:eastAsia="en-US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E4239F">
              <w:rPr>
                <w:b/>
                <w:sz w:val="26"/>
                <w:szCs w:val="26"/>
                <w:lang w:eastAsia="en-US"/>
              </w:rPr>
              <w:t>Кол-во</w:t>
            </w:r>
          </w:p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E4239F">
              <w:rPr>
                <w:b/>
                <w:sz w:val="26"/>
                <w:szCs w:val="26"/>
                <w:lang w:eastAsia="en-US"/>
              </w:rPr>
              <w:t>(шт.)</w:t>
            </w:r>
          </w:p>
          <w:p w:rsidR="00692C27" w:rsidRPr="00E4239F" w:rsidRDefault="00692C27" w:rsidP="00AA70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8-09-44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лучезапястный сустав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C4E30" w:rsidP="006C4E3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запястья 32.50.22.123-00000001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tabs>
                <w:tab w:val="left" w:pos="990"/>
              </w:tabs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жёсткой фиксации лучезапястного сустава и частичной разгрузки в приданом положении коррекции.  Изготавливается по индивидуальным размерам Получателя. Жёсткая гильза. Элементы 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80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8-09-46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локтевой сустав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0" w:rsidRPr="00466D22" w:rsidRDefault="001110F0" w:rsidP="00956CB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локтевого сустава</w:t>
            </w:r>
          </w:p>
          <w:p w:rsidR="00692C27" w:rsidRPr="00466D22" w:rsidRDefault="001110F0" w:rsidP="00956CB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32.50.22.123-00000002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жёсткой фиксации локтевого сустава и частичной разгрузки в приданом положении коррекции. Изготавливается по индивидуальным размерам Получателя. Жёсткая гильза. Элементы крепления.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69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8-09-47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плечевой сустав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0" w:rsidRPr="00466D22" w:rsidRDefault="00956CB0" w:rsidP="00956CB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для плеча</w:t>
            </w:r>
          </w:p>
          <w:p w:rsidR="00692C27" w:rsidRPr="00466D22" w:rsidRDefault="006C4E30" w:rsidP="00956CB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32.50.22.123-00000004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7" w:rsidRPr="00466D22" w:rsidRDefault="00692C27" w:rsidP="00AA70A4">
            <w:pPr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фиксации плечевого сустава. Изготавливается по индивидуальным размерам Получателя. Жёсткая гильза. Элементы крепления.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8-09-48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всю руку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0" w:rsidRPr="00466D22" w:rsidRDefault="002E591A" w:rsidP="00956CB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плеча локтя запястья кисти</w:t>
            </w:r>
          </w:p>
          <w:p w:rsidR="00692C27" w:rsidRPr="00466D22" w:rsidRDefault="001110F0" w:rsidP="00956CB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32.50.22.123-0000000</w:t>
            </w:r>
            <w:r w:rsidR="00956CB0" w:rsidRPr="00466D2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7" w:rsidRPr="00466D22" w:rsidRDefault="00692C27" w:rsidP="00AA70A4">
            <w:pPr>
              <w:spacing w:line="256" w:lineRule="auto"/>
              <w:ind w:firstLine="284"/>
              <w:rPr>
                <w:bCs/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 xml:space="preserve">Ортопедическое Изделие предназначено для жёсткой фиксации всей верхней конечности и частичной разгрузки в приданом </w:t>
            </w:r>
            <w:r w:rsidRPr="00466D22">
              <w:rPr>
                <w:sz w:val="26"/>
                <w:szCs w:val="26"/>
              </w:rPr>
              <w:lastRenderedPageBreak/>
              <w:t>положении коррекции. Изготавливается по индивидуальным размерам Получателя. Жёсткая гильза. Элементы крепления.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lastRenderedPageBreak/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52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8-09-49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голеностопный сустав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1A" w:rsidRPr="00466D22" w:rsidRDefault="00B91DD7" w:rsidP="00B91DD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для голеностопного сустава/стопы</w:t>
            </w:r>
          </w:p>
          <w:p w:rsidR="00692C27" w:rsidRPr="00466D22" w:rsidRDefault="002E591A" w:rsidP="00944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32.50.22.124-00000002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7" w:rsidRPr="00466D22" w:rsidRDefault="00692C27" w:rsidP="00AA70A4">
            <w:pPr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жёсткой фиксации голеностопного сустава и частичной разгрузки в приданом положении коррекции. Изготавливается по индивидуальным размерам Получателя. Жёсткая гильза. Элементы 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320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8-09-51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коленный сустав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367CE1" w:rsidP="00367CE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для коленного сустава</w:t>
            </w:r>
          </w:p>
          <w:p w:rsidR="00367CE1" w:rsidRPr="00466D22" w:rsidRDefault="00367CE1" w:rsidP="00367CE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32.50.22.124-00000007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autoSpaceDE w:val="0"/>
              <w:autoSpaceDN w:val="0"/>
              <w:adjustRightInd w:val="0"/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жёсткой фиксации коленного сустава и частичной разгрузки в приданом положении коррекции. Изготавливается по индивидуальным размерам Получателя. Жёсткая гильза. Элементы 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143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8-09-52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тазобедренный сустав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3" w:rsidRPr="00466D22" w:rsidRDefault="00EB2613" w:rsidP="00EB261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для бедра/колена</w:t>
            </w:r>
          </w:p>
          <w:p w:rsidR="00E252F2" w:rsidRPr="00466D22" w:rsidRDefault="00E252F2" w:rsidP="00EB261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32.50.22.124-0000000</w:t>
            </w:r>
            <w:r w:rsidR="00EB2613" w:rsidRPr="00466D2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autoSpaceDE w:val="0"/>
              <w:autoSpaceDN w:val="0"/>
              <w:adjustRightInd w:val="0"/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жёсткой фиксации тазобедренного сустава и частичной разгрузки в приданом положении коррекции. Изготавливается по индивидуальным размерам Получателя. Жёсткая гильза. Элементы 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8-09-53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E4239F">
              <w:rPr>
                <w:sz w:val="26"/>
                <w:szCs w:val="26"/>
                <w:lang w:eastAsia="en-US"/>
              </w:rPr>
              <w:t>Тутор на коленный и тазобедренный суставы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2" w:rsidRPr="00466D22" w:rsidRDefault="00324DB2" w:rsidP="00324DB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для бедра/колена</w:t>
            </w:r>
          </w:p>
          <w:p w:rsidR="00692C27" w:rsidRPr="00466D22" w:rsidRDefault="00324DB2" w:rsidP="00324DB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32.50.22.124-00000005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autoSpaceDE w:val="0"/>
              <w:autoSpaceDN w:val="0"/>
              <w:adjustRightInd w:val="0"/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Ортопедическое Изделие предназначено для фиксации коленного и тазобедренного суставов. Изготавливается по индивидуальным размерам Получателя. Жёсткая гильза. Элементы крепления.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692C27" w:rsidRPr="00466D22" w:rsidTr="00956C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D70CF8" w:rsidRDefault="00692C27" w:rsidP="00AA70A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D70CF8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8-09-54</w:t>
            </w:r>
          </w:p>
          <w:p w:rsidR="00692C27" w:rsidRPr="00E4239F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4239F">
              <w:rPr>
                <w:sz w:val="26"/>
                <w:szCs w:val="26"/>
                <w:lang w:eastAsia="en-US"/>
              </w:rPr>
              <w:t>Тутор на всю ногу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C4E30" w:rsidP="006C4E3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66D22">
              <w:rPr>
                <w:sz w:val="26"/>
                <w:szCs w:val="26"/>
                <w:lang w:eastAsia="en-US"/>
              </w:rPr>
              <w:t>Ортез</w:t>
            </w:r>
            <w:proofErr w:type="spellEnd"/>
            <w:r w:rsidRPr="00466D22">
              <w:rPr>
                <w:sz w:val="26"/>
                <w:szCs w:val="26"/>
                <w:lang w:eastAsia="en-US"/>
              </w:rPr>
              <w:t xml:space="preserve"> для бедра/колена/голеностопного сустава/стопы</w:t>
            </w:r>
          </w:p>
          <w:p w:rsidR="006C4E30" w:rsidRPr="00466D22" w:rsidRDefault="006C4E30" w:rsidP="009443F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466D22">
              <w:rPr>
                <w:sz w:val="26"/>
                <w:szCs w:val="26"/>
                <w:lang w:eastAsia="en-US"/>
              </w:rPr>
              <w:t>32.50.22.124-0000000</w:t>
            </w:r>
            <w:r w:rsidR="001110F0" w:rsidRPr="00466D22">
              <w:rPr>
                <w:sz w:val="26"/>
                <w:szCs w:val="26"/>
                <w:lang w:eastAsia="en-US"/>
              </w:rPr>
              <w:t>4</w:t>
            </w:r>
          </w:p>
          <w:p w:rsidR="006C4E30" w:rsidRPr="00466D22" w:rsidRDefault="006C4E30" w:rsidP="00AA70A4">
            <w:pPr>
              <w:ind w:firstLine="28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ind w:firstLine="284"/>
              <w:jc w:val="both"/>
              <w:rPr>
                <w:rFonts w:eastAsia="Arial Unicode MS"/>
                <w:color w:val="FF0000"/>
                <w:sz w:val="26"/>
                <w:szCs w:val="26"/>
              </w:rPr>
            </w:pPr>
            <w:r w:rsidRPr="00466D22">
              <w:rPr>
                <w:sz w:val="26"/>
                <w:szCs w:val="26"/>
              </w:rPr>
              <w:t xml:space="preserve">Ортопедическое Изделие предназначено для жёсткой фиксации нижней конечности и частичной разгрузки в приданом положении коррекции. </w:t>
            </w:r>
          </w:p>
          <w:p w:rsidR="00692C27" w:rsidRPr="00466D22" w:rsidRDefault="00692C27" w:rsidP="00AA70A4">
            <w:pPr>
              <w:autoSpaceDE w:val="0"/>
              <w:autoSpaceDN w:val="0"/>
              <w:adjustRightInd w:val="0"/>
              <w:spacing w:line="256" w:lineRule="auto"/>
              <w:ind w:firstLine="284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</w:rPr>
              <w:t>Изготавливается по индивидуальным размерам Получателя. Жёсткая гильза. Элементы 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jc w:val="center"/>
              <w:rPr>
                <w:sz w:val="26"/>
                <w:szCs w:val="26"/>
              </w:rPr>
            </w:pPr>
            <w:r w:rsidRPr="00466D22">
              <w:rPr>
                <w:sz w:val="26"/>
                <w:szCs w:val="26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7" w:rsidRPr="00466D22" w:rsidRDefault="00692C27" w:rsidP="00AA70A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66D22">
              <w:rPr>
                <w:sz w:val="26"/>
                <w:szCs w:val="26"/>
                <w:lang w:eastAsia="en-US"/>
              </w:rPr>
              <w:t>87</w:t>
            </w:r>
          </w:p>
        </w:tc>
      </w:tr>
      <w:tr w:rsidR="00EB2613" w:rsidRPr="00D70CF8" w:rsidTr="004074F7">
        <w:trPr>
          <w:trHeight w:val="20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3" w:rsidRPr="007D0831" w:rsidRDefault="00EB2613" w:rsidP="00EB2613">
            <w:pPr>
              <w:spacing w:line="256" w:lineRule="auto"/>
              <w:ind w:firstLine="284"/>
              <w:jc w:val="right"/>
              <w:rPr>
                <w:sz w:val="26"/>
                <w:szCs w:val="26"/>
                <w:lang w:eastAsia="en-US"/>
              </w:rPr>
            </w:pPr>
            <w:r w:rsidRPr="007D0831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3" w:rsidRPr="00D70CF8" w:rsidRDefault="00EB2613" w:rsidP="00AA70A4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70CF8">
              <w:rPr>
                <w:b/>
                <w:sz w:val="26"/>
                <w:szCs w:val="26"/>
                <w:lang w:eastAsia="en-US"/>
              </w:rPr>
              <w:t>785</w:t>
            </w:r>
          </w:p>
        </w:tc>
      </w:tr>
    </w:tbl>
    <w:p w:rsidR="00BB0B3A" w:rsidRDefault="00BB0B3A" w:rsidP="00BB0B3A">
      <w:pPr>
        <w:jc w:val="both"/>
        <w:rPr>
          <w:b/>
          <w:bCs/>
          <w:color w:val="000000"/>
          <w:sz w:val="26"/>
          <w:szCs w:val="26"/>
        </w:rPr>
      </w:pPr>
    </w:p>
    <w:p w:rsidR="00BB0B3A" w:rsidRDefault="00BB0B3A" w:rsidP="00BB0B3A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Обоснование включения дополнительной информации в сведения о товаре, работе, услуге:</w:t>
      </w:r>
    </w:p>
    <w:p w:rsidR="00BB0B3A" w:rsidRPr="00F9222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A47">
        <w:rPr>
          <w:sz w:val="26"/>
          <w:szCs w:val="26"/>
        </w:rPr>
        <w:t xml:space="preserve">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051A47">
        <w:rPr>
          <w:sz w:val="26"/>
          <w:szCs w:val="26"/>
        </w:rPr>
        <w:t>медико-социальной</w:t>
      </w:r>
      <w:proofErr w:type="gramEnd"/>
      <w:r w:rsidRPr="00051A47">
        <w:rPr>
          <w:sz w:val="26"/>
          <w:szCs w:val="26"/>
        </w:rPr>
        <w:t xml:space="preserve"> экспертизы технических средств реабилитации инвалида и методика их рационального подбора (Издание третье, переработанное и дополненное, 2018 г.)</w:t>
      </w:r>
      <w:r w:rsidR="00F9222A" w:rsidRPr="00E4239F">
        <w:rPr>
          <w:sz w:val="26"/>
          <w:szCs w:val="26"/>
        </w:rPr>
        <w:t>;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Индивидуальные программы реабилитации и 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 xml:space="preserve"> инвалидов</w:t>
      </w:r>
      <w:r w:rsidR="00F9222A">
        <w:rPr>
          <w:sz w:val="26"/>
          <w:szCs w:val="26"/>
        </w:rPr>
        <w:t>.</w:t>
      </w:r>
    </w:p>
    <w:p w:rsidR="00F9222A" w:rsidRDefault="00F9222A" w:rsidP="00BB0B3A">
      <w:pPr>
        <w:ind w:right="-24"/>
        <w:jc w:val="both"/>
        <w:rPr>
          <w:sz w:val="26"/>
          <w:szCs w:val="26"/>
        </w:rPr>
      </w:pP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>1.2.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BB0B3A" w:rsidRDefault="00BB0B3A" w:rsidP="00BB0B3A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en-US"/>
        </w:rPr>
        <w:t xml:space="preserve">1.3. </w:t>
      </w:r>
      <w:r>
        <w:rPr>
          <w:color w:val="000000" w:themeColor="text1"/>
          <w:sz w:val="26"/>
          <w:szCs w:val="26"/>
          <w:lang w:eastAsia="ar-SA"/>
        </w:rPr>
        <w:t>Изделия должны соответствовать требованиям государственных стандартов (ГОСТ), действующих на территории Российской Федерации:</w:t>
      </w:r>
      <w:r>
        <w:rPr>
          <w:color w:val="000000" w:themeColor="text1"/>
          <w:sz w:val="26"/>
          <w:szCs w:val="26"/>
        </w:rPr>
        <w:t xml:space="preserve"> </w:t>
      </w:r>
    </w:p>
    <w:p w:rsidR="00BB0B3A" w:rsidRPr="007D0831" w:rsidRDefault="00BB0B3A" w:rsidP="00BB0B3A">
      <w:pPr>
        <w:jc w:val="both"/>
        <w:rPr>
          <w:b/>
          <w:sz w:val="26"/>
          <w:szCs w:val="26"/>
        </w:rPr>
      </w:pPr>
      <w:r w:rsidRPr="007D0831">
        <w:rPr>
          <w:sz w:val="26"/>
          <w:szCs w:val="26"/>
        </w:rPr>
        <w:t xml:space="preserve">- "ГОСТ </w:t>
      </w:r>
      <w:proofErr w:type="gramStart"/>
      <w:r w:rsidRPr="007D0831">
        <w:rPr>
          <w:sz w:val="26"/>
          <w:szCs w:val="26"/>
        </w:rPr>
        <w:t>Р</w:t>
      </w:r>
      <w:proofErr w:type="gramEnd"/>
      <w:r w:rsidRPr="007D0831">
        <w:rPr>
          <w:sz w:val="26"/>
          <w:szCs w:val="26"/>
        </w:rPr>
        <w:t xml:space="preserve"> 52878-2021. Национальный стандарт Российской Федерации. Туторы на верхние и нижние конечности. Технические требования и методы испытаний"</w:t>
      </w:r>
      <w:r>
        <w:rPr>
          <w:sz w:val="26"/>
          <w:szCs w:val="26"/>
        </w:rPr>
        <w:t>;</w:t>
      </w:r>
    </w:p>
    <w:p w:rsidR="00BB0B3A" w:rsidRPr="007D0831" w:rsidRDefault="00BB0B3A" w:rsidP="00BB0B3A">
      <w:pPr>
        <w:jc w:val="both"/>
        <w:rPr>
          <w:bCs/>
          <w:sz w:val="26"/>
          <w:szCs w:val="26"/>
        </w:rPr>
      </w:pPr>
      <w:r w:rsidRPr="007D0831">
        <w:rPr>
          <w:sz w:val="26"/>
          <w:szCs w:val="26"/>
        </w:rPr>
        <w:t xml:space="preserve">- </w:t>
      </w:r>
      <w:r w:rsidRPr="007D0831">
        <w:rPr>
          <w:bCs/>
          <w:sz w:val="26"/>
          <w:szCs w:val="26"/>
        </w:rPr>
        <w:t xml:space="preserve">"ГОСТ </w:t>
      </w:r>
      <w:proofErr w:type="gramStart"/>
      <w:r w:rsidRPr="007D0831">
        <w:rPr>
          <w:bCs/>
          <w:sz w:val="26"/>
          <w:szCs w:val="26"/>
        </w:rPr>
        <w:t>Р</w:t>
      </w:r>
      <w:proofErr w:type="gramEnd"/>
      <w:r w:rsidRPr="007D0831">
        <w:rPr>
          <w:bCs/>
          <w:sz w:val="26"/>
          <w:szCs w:val="26"/>
        </w:rPr>
        <w:t xml:space="preserve"> 56137-2021. Национальный стандарт Российской Федерации. Протезирование и </w:t>
      </w:r>
      <w:proofErr w:type="spellStart"/>
      <w:r w:rsidRPr="007D0831">
        <w:rPr>
          <w:bCs/>
          <w:sz w:val="26"/>
          <w:szCs w:val="26"/>
        </w:rPr>
        <w:t>ортезирование</w:t>
      </w:r>
      <w:proofErr w:type="spellEnd"/>
      <w:r w:rsidRPr="007D0831">
        <w:rPr>
          <w:bCs/>
          <w:sz w:val="26"/>
          <w:szCs w:val="26"/>
        </w:rPr>
        <w:t xml:space="preserve">. Контроль качества протезов и </w:t>
      </w:r>
      <w:proofErr w:type="spellStart"/>
      <w:r w:rsidRPr="007D0831">
        <w:rPr>
          <w:bCs/>
          <w:sz w:val="26"/>
          <w:szCs w:val="26"/>
        </w:rPr>
        <w:t>ортезов</w:t>
      </w:r>
      <w:proofErr w:type="spellEnd"/>
      <w:r w:rsidRPr="007D0831">
        <w:rPr>
          <w:bCs/>
          <w:sz w:val="26"/>
          <w:szCs w:val="26"/>
        </w:rPr>
        <w:t xml:space="preserve"> верхних и нижних конечностей с индивидуальными параметрами изготовления"</w:t>
      </w:r>
      <w:r>
        <w:rPr>
          <w:bCs/>
          <w:sz w:val="26"/>
          <w:szCs w:val="26"/>
        </w:rPr>
        <w:t>;</w:t>
      </w:r>
    </w:p>
    <w:p w:rsidR="00BB0B3A" w:rsidRDefault="00BB0B3A" w:rsidP="00BB0B3A">
      <w:pPr>
        <w:jc w:val="both"/>
        <w:rPr>
          <w:bCs/>
          <w:sz w:val="26"/>
          <w:szCs w:val="26"/>
        </w:rPr>
      </w:pPr>
      <w:r w:rsidRPr="007D0831">
        <w:rPr>
          <w:bCs/>
          <w:sz w:val="26"/>
          <w:szCs w:val="26"/>
        </w:rPr>
        <w:t xml:space="preserve">- "ГОСТ </w:t>
      </w:r>
      <w:proofErr w:type="gramStart"/>
      <w:r w:rsidRPr="007D0831">
        <w:rPr>
          <w:bCs/>
          <w:sz w:val="26"/>
          <w:szCs w:val="26"/>
        </w:rPr>
        <w:t>Р</w:t>
      </w:r>
      <w:proofErr w:type="gramEnd"/>
      <w:r w:rsidRPr="007D0831">
        <w:rPr>
          <w:bCs/>
          <w:sz w:val="26"/>
          <w:szCs w:val="26"/>
        </w:rPr>
        <w:t xml:space="preserve"> 52770-2023. Национальный стандарт Российской Федерации. Изделия медицинские. Система оценки биологического действия. Общие требования безопасности"</w:t>
      </w:r>
      <w:r>
        <w:rPr>
          <w:bCs/>
          <w:sz w:val="26"/>
          <w:szCs w:val="26"/>
        </w:rPr>
        <w:t>;</w:t>
      </w:r>
    </w:p>
    <w:p w:rsidR="00BB0B3A" w:rsidRPr="007D0831" w:rsidRDefault="00BB0B3A" w:rsidP="00BB0B3A">
      <w:pPr>
        <w:jc w:val="both"/>
        <w:rPr>
          <w:bCs/>
          <w:sz w:val="26"/>
          <w:szCs w:val="26"/>
        </w:rPr>
      </w:pPr>
      <w:r w:rsidRPr="007D0831">
        <w:rPr>
          <w:bCs/>
          <w:sz w:val="26"/>
          <w:szCs w:val="26"/>
        </w:rPr>
        <w:t>- </w:t>
      </w:r>
      <w:r w:rsidRPr="007D0831">
        <w:rPr>
          <w:sz w:val="26"/>
          <w:szCs w:val="26"/>
        </w:rPr>
        <w:t xml:space="preserve">ГОСТ </w:t>
      </w:r>
      <w:r w:rsidRPr="007D0831">
        <w:rPr>
          <w:sz w:val="26"/>
          <w:szCs w:val="26"/>
          <w:lang w:val="en-US"/>
        </w:rPr>
        <w:t>ISO</w:t>
      </w:r>
      <w:r w:rsidRPr="007D0831">
        <w:rPr>
          <w:sz w:val="26"/>
          <w:szCs w:val="26"/>
        </w:rPr>
        <w:t xml:space="preserve"> 10993-1-</w:t>
      </w:r>
      <w:r>
        <w:rPr>
          <w:sz w:val="26"/>
          <w:szCs w:val="26"/>
        </w:rPr>
        <w:t>2023</w:t>
      </w:r>
      <w:r w:rsidRPr="007D0831">
        <w:rPr>
          <w:sz w:val="26"/>
          <w:szCs w:val="26"/>
        </w:rPr>
        <w:t> </w:t>
      </w:r>
      <w:r w:rsidRPr="007D0831">
        <w:rPr>
          <w:bCs/>
          <w:sz w:val="26"/>
          <w:szCs w:val="26"/>
        </w:rPr>
        <w:t>«Изделия медицинские. Оценка биологического действия медицинских изделий. Часть 1. Оценка и исследования»;</w:t>
      </w:r>
    </w:p>
    <w:p w:rsidR="00BB0B3A" w:rsidRPr="007D0831" w:rsidRDefault="00BB0B3A" w:rsidP="00BB0B3A">
      <w:pPr>
        <w:jc w:val="both"/>
        <w:rPr>
          <w:bCs/>
          <w:sz w:val="26"/>
          <w:szCs w:val="26"/>
        </w:rPr>
      </w:pPr>
      <w:r w:rsidRPr="007D0831">
        <w:rPr>
          <w:bCs/>
          <w:sz w:val="26"/>
          <w:szCs w:val="26"/>
        </w:rPr>
        <w:t>- </w:t>
      </w:r>
      <w:r w:rsidRPr="007D0831">
        <w:rPr>
          <w:sz w:val="26"/>
          <w:szCs w:val="26"/>
        </w:rPr>
        <w:t xml:space="preserve">ГОСТ </w:t>
      </w:r>
      <w:r w:rsidRPr="007D0831">
        <w:rPr>
          <w:sz w:val="26"/>
          <w:szCs w:val="26"/>
          <w:lang w:val="en-US"/>
        </w:rPr>
        <w:t>ISO</w:t>
      </w:r>
      <w:r w:rsidRPr="007D0831">
        <w:rPr>
          <w:sz w:val="26"/>
          <w:szCs w:val="26"/>
        </w:rPr>
        <w:t xml:space="preserve"> 10993-5-</w:t>
      </w:r>
      <w:r>
        <w:rPr>
          <w:sz w:val="26"/>
          <w:szCs w:val="26"/>
        </w:rPr>
        <w:t>2023</w:t>
      </w:r>
      <w:r w:rsidRPr="007D0831">
        <w:rPr>
          <w:sz w:val="26"/>
          <w:szCs w:val="26"/>
        </w:rPr>
        <w:t> </w:t>
      </w:r>
      <w:r w:rsidRPr="007D0831">
        <w:rPr>
          <w:bCs/>
          <w:sz w:val="26"/>
          <w:szCs w:val="26"/>
        </w:rPr>
        <w:t xml:space="preserve">«Изделия медицинские. Оценка биологического действия медицинских изделий. Часть 5. Исследование на </w:t>
      </w:r>
      <w:proofErr w:type="spellStart"/>
      <w:r w:rsidRPr="007D0831">
        <w:rPr>
          <w:bCs/>
          <w:sz w:val="26"/>
          <w:szCs w:val="26"/>
        </w:rPr>
        <w:t>цитотоксичность</w:t>
      </w:r>
      <w:proofErr w:type="spellEnd"/>
      <w:r w:rsidRPr="007D0831">
        <w:rPr>
          <w:bCs/>
          <w:sz w:val="26"/>
          <w:szCs w:val="26"/>
        </w:rPr>
        <w:t xml:space="preserve">: методы </w:t>
      </w:r>
      <w:proofErr w:type="spellStart"/>
      <w:r w:rsidRPr="007D0831">
        <w:rPr>
          <w:bCs/>
          <w:sz w:val="26"/>
          <w:szCs w:val="26"/>
        </w:rPr>
        <w:t>in</w:t>
      </w:r>
      <w:proofErr w:type="spellEnd"/>
      <w:r w:rsidRPr="007D0831">
        <w:rPr>
          <w:bCs/>
          <w:sz w:val="26"/>
          <w:szCs w:val="26"/>
        </w:rPr>
        <w:t xml:space="preserve"> </w:t>
      </w:r>
      <w:proofErr w:type="spellStart"/>
      <w:r w:rsidRPr="007D0831">
        <w:rPr>
          <w:bCs/>
          <w:sz w:val="26"/>
          <w:szCs w:val="26"/>
        </w:rPr>
        <w:t>vitro</w:t>
      </w:r>
      <w:proofErr w:type="spellEnd"/>
      <w:r w:rsidRPr="007D0831">
        <w:rPr>
          <w:bCs/>
          <w:sz w:val="26"/>
          <w:szCs w:val="26"/>
        </w:rPr>
        <w:t>»;</w:t>
      </w:r>
    </w:p>
    <w:p w:rsidR="00BB0B3A" w:rsidRPr="007D0831" w:rsidRDefault="00BB0B3A" w:rsidP="00BB0B3A">
      <w:pPr>
        <w:jc w:val="both"/>
        <w:rPr>
          <w:bCs/>
          <w:sz w:val="26"/>
          <w:szCs w:val="26"/>
        </w:rPr>
      </w:pPr>
      <w:r w:rsidRPr="007D0831">
        <w:rPr>
          <w:bCs/>
          <w:sz w:val="26"/>
          <w:szCs w:val="26"/>
        </w:rPr>
        <w:t xml:space="preserve"> - ГОСТ </w:t>
      </w:r>
      <w:r w:rsidRPr="007D0831">
        <w:rPr>
          <w:sz w:val="26"/>
          <w:szCs w:val="26"/>
          <w:lang w:val="en-US"/>
        </w:rPr>
        <w:t>ISO</w:t>
      </w:r>
      <w:r w:rsidRPr="007D0831">
        <w:rPr>
          <w:sz w:val="26"/>
          <w:szCs w:val="26"/>
        </w:rPr>
        <w:t xml:space="preserve"> 10993-10-</w:t>
      </w:r>
      <w:r>
        <w:rPr>
          <w:sz w:val="26"/>
          <w:szCs w:val="26"/>
        </w:rPr>
        <w:t>2023</w:t>
      </w:r>
      <w:r w:rsidRPr="007D0831">
        <w:rPr>
          <w:sz w:val="26"/>
          <w:szCs w:val="26"/>
        </w:rPr>
        <w:t xml:space="preserve"> </w:t>
      </w:r>
      <w:r w:rsidRPr="007D0831">
        <w:rPr>
          <w:bCs/>
          <w:sz w:val="26"/>
          <w:szCs w:val="26"/>
        </w:rPr>
        <w:t>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Изделия должны быть новыми Изделиями, Изделиями, которые не были в употреблении, в ремонте, 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свободными от прав третьих лиц. </w:t>
      </w:r>
    </w:p>
    <w:p w:rsidR="00BB0B3A" w:rsidRDefault="00BB0B3A" w:rsidP="00BB0B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Упаковка Изделия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</w:t>
      </w:r>
      <w:proofErr w:type="gramStart"/>
      <w:r>
        <w:rPr>
          <w:sz w:val="26"/>
          <w:szCs w:val="26"/>
        </w:rPr>
        <w:t>Общие технические требования и методы испытаний»).</w:t>
      </w:r>
      <w:proofErr w:type="gramEnd"/>
    </w:p>
    <w:p w:rsidR="00BB0B3A" w:rsidRDefault="00BB0B3A" w:rsidP="00BB0B3A">
      <w:pPr>
        <w:spacing w:line="249" w:lineRule="auto"/>
        <w:ind w:right="-2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 xml:space="preserve">1.6. </w:t>
      </w:r>
      <w:r>
        <w:rPr>
          <w:color w:val="000000"/>
          <w:sz w:val="26"/>
          <w:szCs w:val="26"/>
        </w:rPr>
        <w:t>Срок службы на Изделия устанавливается приказом Министерства труда и социальной защиты Российской Федерации от 05 марта 2021 г. № 107н.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1.7. </w:t>
      </w:r>
      <w:r>
        <w:rPr>
          <w:sz w:val="26"/>
          <w:szCs w:val="26"/>
        </w:rPr>
        <w:t>Гарантийный срок на Изделия составляет не менее 12 месяцев со дня подписания Получателем акта приема-передачи Изделия. 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Изделий.</w:t>
      </w:r>
    </w:p>
    <w:p w:rsidR="00BB0B3A" w:rsidRDefault="00BB0B3A" w:rsidP="00BB0B3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Исполнитель обязан: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2.1. Изготавливать Изделие для Получателя в течение 60 (шестидесяти) календарных дней, имеющее действующие декларации о соответствии, оформленные в соответствии с законодательством Российской Федерации (при наличии).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ранее Изделие подлежало обязательной сертификации, допускается изготовление Изделия, имеющего действующий сертификат соответствия (при наличии).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2.1.1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>беспечить наличие сотрудника, ответственного за снятие мерок с Получателей на пунктах приема Получателей в течении всего времени работы пунктов приема Получателей.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2.2.</w:t>
      </w:r>
      <w:r>
        <w:rPr>
          <w:sz w:val="26"/>
          <w:szCs w:val="26"/>
        </w:rPr>
        <w:t xml:space="preserve">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представителя. При этом требовать документ (копию документа), удостоверяющего личность Получателя (инвалида) не допускается. 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BB0B3A" w:rsidRDefault="00BB0B3A" w:rsidP="00BB0B3A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rFonts w:ascii="Times New Roman CYR" w:hAnsi="Times New Roman CYR" w:cs="Times New Roman CYR"/>
          <w:sz w:val="26"/>
          <w:szCs w:val="26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Роспотребнадзора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коронавирусной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инфекции (COVID-19).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rFonts w:ascii="Times New Roman CYR" w:hAnsi="Times New Roman CYR" w:cs="Times New Roman CYR"/>
          <w:sz w:val="26"/>
          <w:szCs w:val="26"/>
        </w:rPr>
        <w:t xml:space="preserve"> Обеспечить возможность изготовления Изделий со дня, следующего за днем передачи Исполнителю реестра Получателей, но не ранее 09.01.2025.</w:t>
      </w:r>
    </w:p>
    <w:p w:rsidR="00BB0B3A" w:rsidRDefault="00BB0B3A" w:rsidP="00BB0B3A">
      <w:pPr>
        <w:ind w:right="-2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2.5.</w:t>
      </w:r>
      <w:r>
        <w:rPr>
          <w:color w:val="000000"/>
          <w:sz w:val="26"/>
          <w:szCs w:val="26"/>
        </w:rPr>
        <w:t xml:space="preserve">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BB0B3A" w:rsidRDefault="00BB0B3A" w:rsidP="00BB0B3A">
      <w:pPr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BB0B3A" w:rsidRDefault="00BB0B3A" w:rsidP="00BB0B3A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BB0B3A" w:rsidRDefault="00BB0B3A" w:rsidP="00BB0B3A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Срок осуществления замены Изделия не должен превышать 15 рабочих дней со дня обращения Получателя (Заказчика).</w:t>
      </w:r>
    </w:p>
    <w:p w:rsidR="00BB0B3A" w:rsidRDefault="00BB0B3A" w:rsidP="00BB0B3A">
      <w:pPr>
        <w:autoSpaceDE w:val="0"/>
        <w:ind w:right="-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такого Изделия. </w:t>
      </w:r>
    </w:p>
    <w:p w:rsidR="00BB0B3A" w:rsidRDefault="00BB0B3A" w:rsidP="00BB0B3A">
      <w:pPr>
        <w:autoSpaceDE w:val="0"/>
        <w:ind w:right="-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BB0B3A" w:rsidRDefault="00BB0B3A" w:rsidP="00BB0B3A">
      <w:pPr>
        <w:suppressAutoHyphens/>
        <w:ind w:right="-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Прием Получателей по вопросам, касающимся выдачи и гарантийного ремонта Изделий, осуществляется Исполнителем по месту нахождения организованных Исполнителем пунктов приема Получателей на территории Санкт-Петербурга).</w:t>
      </w:r>
      <w:proofErr w:type="gramEnd"/>
    </w:p>
    <w:p w:rsidR="00BB0B3A" w:rsidRDefault="00BB0B3A" w:rsidP="00BB0B3A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2.6. </w:t>
      </w:r>
      <w:r>
        <w:rPr>
          <w:rFonts w:ascii="Times New Roman CYR" w:hAnsi="Times New Roman CYR" w:cs="Times New Roman CYR"/>
          <w:sz w:val="26"/>
          <w:szCs w:val="26"/>
        </w:rPr>
        <w:t xml:space="preserve">Давать справки Получателям по вопросам, связанным с изготовлением Изделий, </w:t>
      </w:r>
      <w:r>
        <w:rPr>
          <w:sz w:val="26"/>
          <w:szCs w:val="26"/>
        </w:rPr>
        <w:t>а также осуществлять прием заявок на доставку Изделий по месту нахождения Получателя</w:t>
      </w:r>
      <w:r>
        <w:rPr>
          <w:rFonts w:ascii="Times New Roman CYR" w:hAnsi="Times New Roman CYR" w:cs="Times New Roman CYR"/>
          <w:sz w:val="26"/>
          <w:szCs w:val="26"/>
        </w:rPr>
        <w:t xml:space="preserve"> в часы работы пункта (пунктов) приема Получателей. Для звонков Получателей должен быть выделен телефонный номер. Информацию о телефонном номере Исполнитель должен предоставить Заказчику не позднее 1 (одного) рабочего дня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 даты заключения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государственного контракта.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</w:t>
      </w:r>
      <w:r>
        <w:rPr>
          <w:sz w:val="26"/>
          <w:szCs w:val="26"/>
        </w:rPr>
        <w:t xml:space="preserve">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</w:t>
      </w:r>
      <w:r>
        <w:rPr>
          <w:rFonts w:ascii="Times New Roman CYR" w:hAnsi="Times New Roman CYR" w:cs="Times New Roman CYR"/>
          <w:sz w:val="26"/>
          <w:szCs w:val="26"/>
        </w:rPr>
        <w:t xml:space="preserve"> и Ленинградской области</w:t>
      </w:r>
      <w:r>
        <w:rPr>
          <w:sz w:val="26"/>
          <w:szCs w:val="26"/>
        </w:rPr>
        <w:t xml:space="preserve">; исключается возможность взимания оплаты за звонки Исполнителем. 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>2.7. Вести аудиозаписи телефонных разговоров с Получателями по вопросам получения Изделий. По требованию Заказчика Исполнитель обязан предоставлять такие аудиозаписи.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Изделий.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Изделия Получателю не позднее дня, следующего за днем доставки, согласованным с Получателем.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8" w:history="1">
        <w:r>
          <w:rPr>
            <w:rStyle w:val="a3"/>
            <w:rFonts w:eastAsiaTheme="majorEastAsia"/>
            <w:szCs w:val="26"/>
          </w:rPr>
          <w:t>osp@ro78.fss.ru</w:t>
        </w:r>
      </w:hyperlink>
      <w:r>
        <w:rPr>
          <w:sz w:val="26"/>
          <w:szCs w:val="26"/>
        </w:rPr>
        <w:t>.</w:t>
      </w:r>
    </w:p>
    <w:p w:rsidR="00BB0B3A" w:rsidRDefault="00BB0B3A" w:rsidP="00BB0B3A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номер контактного телефона;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адрес электронной почты;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перечень операций, выполняемых соисполнителем в рамках государственного контракта;</w:t>
      </w:r>
    </w:p>
    <w:p w:rsidR="00BB0B3A" w:rsidRDefault="00BB0B3A" w:rsidP="00BB0B3A">
      <w:pPr>
        <w:numPr>
          <w:ilvl w:val="0"/>
          <w:numId w:val="2"/>
        </w:numPr>
        <w:autoSpaceDE w:val="0"/>
        <w:autoSpaceDN w:val="0"/>
        <w:adjustRightInd w:val="0"/>
        <w:ind w:hanging="720"/>
        <w:contextualSpacing/>
        <w:jc w:val="both"/>
        <w:rPr>
          <w:rFonts w:ascii="Calibri" w:hAnsi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срок </w:t>
      </w:r>
      <w:proofErr w:type="spellStart"/>
      <w:r>
        <w:rPr>
          <w:sz w:val="26"/>
          <w:szCs w:val="26"/>
          <w:lang w:eastAsia="en-US"/>
        </w:rPr>
        <w:t>соисполнительства</w:t>
      </w:r>
      <w:proofErr w:type="spellEnd"/>
      <w:r>
        <w:rPr>
          <w:sz w:val="26"/>
          <w:szCs w:val="26"/>
          <w:lang w:eastAsia="en-US"/>
        </w:rPr>
        <w:t>.</w:t>
      </w:r>
    </w:p>
    <w:p w:rsidR="00BB0B3A" w:rsidRDefault="00BB0B3A" w:rsidP="00BB0B3A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BB0B3A" w:rsidRDefault="00BB0B3A" w:rsidP="00BB0B3A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BB0B3A" w:rsidRDefault="00BB0B3A" w:rsidP="00BB0B3A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9" w:history="1">
        <w:r>
          <w:rPr>
            <w:rStyle w:val="a3"/>
            <w:rFonts w:eastAsiaTheme="majorEastAsia"/>
            <w:szCs w:val="26"/>
            <w:lang w:val="en-US"/>
          </w:rPr>
          <w:t>osp</w:t>
        </w:r>
        <w:r>
          <w:rPr>
            <w:rStyle w:val="a3"/>
            <w:rFonts w:eastAsiaTheme="majorEastAsia"/>
            <w:szCs w:val="26"/>
          </w:rPr>
          <w:t>@</w:t>
        </w:r>
        <w:r>
          <w:rPr>
            <w:rStyle w:val="a3"/>
            <w:rFonts w:eastAsiaTheme="majorEastAsia"/>
            <w:szCs w:val="26"/>
            <w:lang w:val="en-US"/>
          </w:rPr>
          <w:t>ro</w:t>
        </w:r>
        <w:r>
          <w:rPr>
            <w:rStyle w:val="a3"/>
            <w:rFonts w:eastAsiaTheme="majorEastAsia"/>
            <w:szCs w:val="26"/>
          </w:rPr>
          <w:t>78.</w:t>
        </w:r>
        <w:r>
          <w:rPr>
            <w:rStyle w:val="a3"/>
            <w:rFonts w:eastAsiaTheme="majorEastAsia"/>
            <w:szCs w:val="26"/>
            <w:lang w:val="en-US"/>
          </w:rPr>
          <w:t>fss</w:t>
        </w:r>
        <w:r>
          <w:rPr>
            <w:rStyle w:val="a3"/>
            <w:rFonts w:eastAsiaTheme="majorEastAsia"/>
            <w:szCs w:val="26"/>
          </w:rPr>
          <w:t>.</w:t>
        </w:r>
        <w:proofErr w:type="spellStart"/>
        <w:r>
          <w:rPr>
            <w:rStyle w:val="a3"/>
            <w:rFonts w:eastAsiaTheme="majorEastAsia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Способ выдачи Изделий</w:t>
      </w:r>
      <w:r>
        <w:rPr>
          <w:sz w:val="26"/>
          <w:szCs w:val="26"/>
        </w:rPr>
        <w:t>: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3.1. Исполнитель предоставляет Получателям право выбора способа получения Изделий: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 месту жительства (месту пребывания, фактического проживания) </w:t>
      </w:r>
      <w:proofErr w:type="gramStart"/>
      <w:r>
        <w:rPr>
          <w:sz w:val="26"/>
          <w:szCs w:val="26"/>
        </w:rPr>
        <w:t>Получателя</w:t>
      </w:r>
      <w:proofErr w:type="gramEnd"/>
      <w:r>
        <w:rPr>
          <w:sz w:val="26"/>
          <w:szCs w:val="26"/>
        </w:rPr>
        <w:t xml:space="preserve"> в том числе службой доставки (почтовым отправлением) с документом/уведомлением о вручении, подтверждающим факт доставки Изделия;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>- в пункте (пунктах) приема Получателей, организованных Исполнителем.</w:t>
      </w:r>
    </w:p>
    <w:p w:rsidR="00BB0B3A" w:rsidRDefault="00BB0B3A" w:rsidP="00BB0B3A">
      <w:pPr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Изделий по месту жительства (месту пребывания, фактического проживания) </w:t>
      </w:r>
      <w:proofErr w:type="gramStart"/>
      <w:r>
        <w:rPr>
          <w:sz w:val="26"/>
          <w:szCs w:val="26"/>
        </w:rPr>
        <w:t>Получателя</w:t>
      </w:r>
      <w:proofErr w:type="gramEnd"/>
      <w:r>
        <w:rPr>
          <w:sz w:val="26"/>
          <w:szCs w:val="26"/>
        </w:rPr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В целях реализации возможности получения Изделия Получателем через пункт (пункты) приема Получателей и недопущения длительного ожидания в очереди при получении Изделия Исполнитель должен организовать не менее 1 (одного) пункта приема Получателей на территории Санкт-Петербурга в срок не позднее 1 (одного) рабочего дня с даты заключения государственного контракта, который (которые) должны действовать до конца выдачи Изделия, согласно условиям государственного контракта.</w:t>
      </w:r>
      <w:proofErr w:type="gramEnd"/>
      <w:r>
        <w:rPr>
          <w:sz w:val="26"/>
          <w:szCs w:val="26"/>
        </w:rPr>
        <w:t xml:space="preserve"> Исполнитель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BB0B3A" w:rsidRDefault="00BB0B3A" w:rsidP="00BB0B3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</w:t>
      </w:r>
      <w:proofErr w:type="gramEnd"/>
      <w:r>
        <w:rPr>
          <w:sz w:val="26"/>
          <w:szCs w:val="26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>
        <w:rPr>
          <w:sz w:val="26"/>
          <w:szCs w:val="26"/>
        </w:rPr>
        <w:t>Актуализированная редакция СНиП 2.07.01-89», принимается расстояние в 500 метров).</w:t>
      </w:r>
      <w:proofErr w:type="gramEnd"/>
    </w:p>
    <w:p w:rsidR="00BB0B3A" w:rsidRDefault="00BB0B3A" w:rsidP="00BB0B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Требования к организации пунктов приема Получателей Изделий установлены в техническом задании </w:t>
      </w:r>
      <w:proofErr w:type="gramStart"/>
      <w:r>
        <w:rPr>
          <w:sz w:val="26"/>
          <w:szCs w:val="26"/>
        </w:rPr>
        <w:t>исходя из необходимости обеспечить</w:t>
      </w:r>
      <w:proofErr w:type="gramEnd"/>
      <w:r>
        <w:rPr>
          <w:sz w:val="26"/>
          <w:szCs w:val="26"/>
        </w:rPr>
        <w:t xml:space="preserve"> доступные транспортные условия для инвалидов из любой части города Санкт-Петербурга или Ленинградской области. 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позднее 1 (одного) рабочего дня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государственного контракта исполнитель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позднее 1 (одного) рабочего дня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государственного контракта Исполнитель передает Заказчику копии документов, подтверждающих право Исполнителя использовать помещения пункта (пунктов) приема Получателей,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>3.3. Исполнитель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181-ФЗ «О социальной защите инвалидов в Российской Федерации».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Вход в каждый пункт (пункты) приема Получателей должен быть обозначен надписью (например, «Пункт выдачи ТСР»), позволяющей однозначно определить место нахождения указанного пункта (пунктов). </w:t>
      </w:r>
      <w:proofErr w:type="gramStart"/>
      <w:r>
        <w:rPr>
          <w:sz w:val="26"/>
          <w:szCs w:val="26"/>
        </w:rPr>
        <w:t>Проход в пункт (пункты) приема Получателей и передвижение по ним должны быть беспрепятственны для инвалидов (в случае необходимости, пункты приема Получателей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>
        <w:rPr>
          <w:sz w:val="26"/>
          <w:szCs w:val="26"/>
        </w:rPr>
        <w:t xml:space="preserve"> Исполнителем должна быть обеспечена возможность самостоятельного передвижения инвалидов по территории пункта (пунктов) приема Получателей, в том числе с помощью его работников, а также сменного кресла-коляски.</w:t>
      </w:r>
    </w:p>
    <w:p w:rsidR="00BB0B3A" w:rsidRDefault="00BB0B3A" w:rsidP="00BB0B3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Входная группа 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 перепадах высот Исполнитель должен учитывать наличие следующих элементов: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Пандус с поручнями;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(в соответствии с п. 5.1.14 – п. 5.1.16; п. 6.1.2 – п. 6.1.4; п. 6.2.9 – п. 6.2.11 СП 59.13330.2020);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Лестница с поручнями;</w:t>
      </w:r>
    </w:p>
    <w:p w:rsidR="00BB0B3A" w:rsidRDefault="00BB0B3A" w:rsidP="00BB0B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BB0B3A" w:rsidRDefault="00BB0B3A" w:rsidP="00BB0B3A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</w:t>
      </w:r>
      <w:r>
        <w:rPr>
          <w:color w:val="000000"/>
          <w:sz w:val="26"/>
          <w:szCs w:val="26"/>
        </w:rPr>
        <w:lastRenderedPageBreak/>
        <w:t>высотой не более 0,014 м. (</w:t>
      </w:r>
      <w:r>
        <w:rPr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>п.6.1.5, п. 6.1.6, п.6.2.4 СП 59.13330.2020)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Тактильно-контрастные указатели;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соответствии с п. 5.1.10 СП 59.13330.2020).</w:t>
      </w:r>
    </w:p>
    <w:p w:rsidR="00BB0B3A" w:rsidRDefault="00BB0B3A" w:rsidP="00BB0B3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Пути движения внутри пункта (пунктов)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 перепадах высот Исполнитель должен учитывать наличие следующих элементов: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Лифт, подъемная платформа, эскалатор </w:t>
      </w:r>
    </w:p>
    <w:p w:rsidR="00BB0B3A" w:rsidRDefault="00BB0B3A" w:rsidP="00BB0B3A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>(в соответствии с п. 6.2.13 – п. 6.2.18 СП 59.13330.2020).</w:t>
      </w:r>
      <w:r>
        <w:rPr>
          <w:b/>
          <w:sz w:val="26"/>
          <w:szCs w:val="26"/>
        </w:rPr>
        <w:t xml:space="preserve"> 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Лифт должен иметь габариты не менее 1100х1400 мм (ширина х глубина).</w:t>
      </w:r>
    </w:p>
    <w:p w:rsidR="00BB0B3A" w:rsidRDefault="00BB0B3A" w:rsidP="00BB0B3A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BB0B3A" w:rsidRDefault="00BB0B3A" w:rsidP="00BB0B3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Пути эвакуации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невозможности соблюдения положений </w:t>
      </w:r>
      <w:r>
        <w:rPr>
          <w:sz w:val="26"/>
          <w:szCs w:val="26"/>
          <w:shd w:val="clear" w:color="auto" w:fill="FFFFFF"/>
        </w:rPr>
        <w:t>ч.15 ст.</w:t>
      </w:r>
      <w:r w:rsidRPr="00F9222A">
        <w:rPr>
          <w:sz w:val="26"/>
          <w:szCs w:val="26"/>
        </w:rPr>
        <w:t xml:space="preserve">89 </w:t>
      </w:r>
      <w:hyperlink r:id="rId10" w:history="1">
        <w:r w:rsidRPr="00F9222A">
          <w:rPr>
            <w:sz w:val="26"/>
          </w:rPr>
          <w:t>Федерального закона от 22.07.2008 N 123-ФЗ «Технический регламент о требованиях пожарной безопасности</w:t>
        </w:r>
      </w:hyperlink>
      <w:r>
        <w:rPr>
          <w:sz w:val="26"/>
          <w:szCs w:val="26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Пути эвакуации помещений пункта (пунктов) приема должны обеспечивать безопасность посетителей в соответствии с п.6.2.19-п.6.2.32 СП 59.13330.2020.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систему двухсторонней связи с диспетчером или дежурным (в соответствии с п. 6.5.8 СП 59.13330.2020).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На территории пункта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>
        <w:rPr>
          <w:sz w:val="26"/>
          <w:szCs w:val="26"/>
        </w:rPr>
        <w:t>При чем</w:t>
      </w:r>
      <w:proofErr w:type="gramEnd"/>
      <w:r>
        <w:rPr>
          <w:sz w:val="26"/>
          <w:szCs w:val="26"/>
        </w:rPr>
        <w:t xml:space="preserve">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 Пункты приема Получателей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Исполнителем оборудуются дополнительные окна обслуживания. 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3.7. Изделия должны находиться на складе пункта (пунктов) приема Получателей,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proofErr w:type="gramStart"/>
      <w:r>
        <w:rPr>
          <w:sz w:val="26"/>
          <w:szCs w:val="26"/>
        </w:rPr>
        <w:t>Пункт (пункты) приема Получателей должны иметь следующие условия доступности в соответствии с Приказом Министерства труда и социальной защиты РФ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беспрепятственного входа в объекты и выхода из них;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sz w:val="26"/>
          <w:szCs w:val="26"/>
        </w:rPr>
        <w:t>ассистивных</w:t>
      </w:r>
      <w:proofErr w:type="spellEnd"/>
      <w:r>
        <w:rPr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получателю при входе в объект и выходе из него, информирование Получателя о доступных маршрутах общественного транспорта;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приказом Министерства труда и социальной защиты Российской Федерации от 22 июня 2015 года № 386 н (зарегистрирован Министерством юстиции Российской Федерации 21 июля 2015 года, регистрационный № 38115).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3.9. Пункты должны обеспечивать прием Получателей не менее 5 (пяти) дней в неделю, не менее 40 часов в неделю, при этом, время работы пункта (пунктов) должно попадать в интервал с 08:00 до 22:00.</w:t>
      </w:r>
    </w:p>
    <w:p w:rsidR="00BB0B3A" w:rsidRDefault="00BB0B3A" w:rsidP="00BB0B3A">
      <w:pPr>
        <w:suppressAutoHyphens/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212121"/>
          <w:sz w:val="26"/>
          <w:szCs w:val="26"/>
        </w:rPr>
        <w:lastRenderedPageBreak/>
        <w:t xml:space="preserve">3.10. Заказчик вправе предоставить </w:t>
      </w:r>
      <w:r>
        <w:rPr>
          <w:sz w:val="26"/>
          <w:szCs w:val="26"/>
        </w:rPr>
        <w:t xml:space="preserve">Исполнителю </w:t>
      </w:r>
      <w:r>
        <w:rPr>
          <w:color w:val="212121"/>
          <w:sz w:val="26"/>
          <w:szCs w:val="26"/>
        </w:rPr>
        <w:t>без взимания платы помещение для организации пункта приема Изделий Получателям. Исполнитель обязан организовать выдачу Изделий в предложенном пункте приема. 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В случае выбора Исполнителем способа получения Изделий путем передачи Изделий по месту нахождения Получателя, такая доставка осуществляется Исполнителем в пределах административной границы субъекта, не менее чем с 10:00 до 21:00 не менее 5 (пяти) дней в неделю, по предварительной записи по телефону, предоставленному Заказчику не позднее 1 (одного) рабочего дня с даты заключения контракта, но не ранее 09.01.2025</w:t>
      </w:r>
      <w:proofErr w:type="gramEnd"/>
      <w:r>
        <w:rPr>
          <w:sz w:val="26"/>
          <w:szCs w:val="26"/>
        </w:rPr>
        <w:t>. Доставка осуществляется за счет средств Исполнителя.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обязан информировать Заказчика о невозможности доставки Изделия Получателю не позднее дня, следующего за днем доставки, согласованным с Получателем.</w:t>
      </w:r>
    </w:p>
    <w:p w:rsidR="00BB0B3A" w:rsidRDefault="00BB0B3A" w:rsidP="00BB0B3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 целью подтверждения соответствия изготовляемых Изделий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Изделий и соответствия пункта (пунктов) приема Получателей требованиям Технического задания. При проведении проверки Заказчик вправе осуществлять </w:t>
      </w:r>
      <w:proofErr w:type="spellStart"/>
      <w:r>
        <w:rPr>
          <w:sz w:val="26"/>
          <w:szCs w:val="26"/>
        </w:rPr>
        <w:t>фотофиксацию</w:t>
      </w:r>
      <w:proofErr w:type="spellEnd"/>
      <w:r>
        <w:rPr>
          <w:sz w:val="26"/>
          <w:szCs w:val="26"/>
        </w:rPr>
        <w:t xml:space="preserve"> и/или видеозапись.</w:t>
      </w:r>
    </w:p>
    <w:p w:rsidR="00BB0B3A" w:rsidRDefault="00BB0B3A" w:rsidP="00BB0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случаях отказа от Изделия Получателя, Исполнитель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1" w:history="1">
        <w:r w:rsidRPr="00F0502A">
          <w:rPr>
            <w:rStyle w:val="a3"/>
            <w:szCs w:val="26"/>
          </w:rPr>
          <w:t>osp@ro78.fss.ru</w:t>
        </w:r>
      </w:hyperlink>
      <w:r>
        <w:rPr>
          <w:sz w:val="26"/>
          <w:szCs w:val="26"/>
        </w:rPr>
        <w:t>.</w:t>
      </w:r>
    </w:p>
    <w:p w:rsidR="00BB0B3A" w:rsidRPr="00BB0B3A" w:rsidRDefault="00BB0B3A" w:rsidP="00BB0B3A">
      <w:pPr>
        <w:tabs>
          <w:tab w:val="left" w:pos="4788"/>
        </w:tabs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BB1AC5">
        <w:rPr>
          <w:sz w:val="26"/>
          <w:szCs w:val="26"/>
        </w:rPr>
        <w:t xml:space="preserve"> При проведении экспертизы </w:t>
      </w:r>
      <w:r>
        <w:rPr>
          <w:sz w:val="26"/>
          <w:szCs w:val="26"/>
        </w:rPr>
        <w:t>Изделий</w:t>
      </w:r>
      <w:r w:rsidRPr="00BB1AC5">
        <w:rPr>
          <w:sz w:val="26"/>
          <w:szCs w:val="26"/>
        </w:rPr>
        <w:t xml:space="preserve"> на соответствие их условиям Технического задания, </w:t>
      </w:r>
      <w:r>
        <w:rPr>
          <w:sz w:val="26"/>
          <w:szCs w:val="26"/>
        </w:rPr>
        <w:t>Исполнитель</w:t>
      </w:r>
      <w:r w:rsidRPr="00BB1AC5">
        <w:rPr>
          <w:sz w:val="26"/>
          <w:szCs w:val="26"/>
        </w:rPr>
        <w:t xml:space="preserve"> должен предоставить необходимое для проведения экспертизы количество </w:t>
      </w:r>
      <w:r>
        <w:rPr>
          <w:sz w:val="26"/>
          <w:szCs w:val="26"/>
        </w:rPr>
        <w:t>Изделий</w:t>
      </w:r>
      <w:r w:rsidRPr="00BB1AC5">
        <w:rPr>
          <w:sz w:val="26"/>
          <w:szCs w:val="26"/>
        </w:rPr>
        <w:t xml:space="preserve">. При этом предоставленное для экспертизы количество </w:t>
      </w:r>
      <w:r>
        <w:rPr>
          <w:sz w:val="26"/>
          <w:szCs w:val="26"/>
        </w:rPr>
        <w:t>Изделий</w:t>
      </w:r>
      <w:r w:rsidRPr="00BB1AC5">
        <w:rPr>
          <w:sz w:val="26"/>
          <w:szCs w:val="26"/>
        </w:rPr>
        <w:t xml:space="preserve"> не входит в общий объем </w:t>
      </w:r>
      <w:r>
        <w:rPr>
          <w:sz w:val="26"/>
          <w:szCs w:val="26"/>
        </w:rPr>
        <w:t>Изделий</w:t>
      </w:r>
      <w:r w:rsidRPr="00BB1AC5">
        <w:rPr>
          <w:sz w:val="26"/>
          <w:szCs w:val="26"/>
        </w:rPr>
        <w:t>, предусмотренный Техническим заданием.</w:t>
      </w:r>
      <w:r w:rsidRPr="00BB1AC5">
        <w:rPr>
          <w:sz w:val="26"/>
          <w:szCs w:val="26"/>
        </w:rPr>
        <w:t> </w:t>
      </w:r>
    </w:p>
    <w:p w:rsidR="000A5B69" w:rsidRPr="00BB0B3A" w:rsidRDefault="000A5B69" w:rsidP="00BB0B3A">
      <w:pPr>
        <w:jc w:val="both"/>
        <w:rPr>
          <w:sz w:val="26"/>
          <w:szCs w:val="26"/>
        </w:rPr>
      </w:pPr>
    </w:p>
    <w:p w:rsidR="000A5B69" w:rsidRDefault="000A5B69" w:rsidP="000A5B69">
      <w:pPr>
        <w:tabs>
          <w:tab w:val="left" w:pos="4788"/>
        </w:tabs>
        <w:ind w:firstLine="709"/>
        <w:jc w:val="both"/>
        <w:rPr>
          <w:b/>
          <w:bCs/>
        </w:rPr>
      </w:pPr>
    </w:p>
    <w:p w:rsidR="000A5B69" w:rsidRPr="002B2919" w:rsidRDefault="000A5B69" w:rsidP="00CC2DF4">
      <w:pPr>
        <w:jc w:val="right"/>
      </w:pPr>
    </w:p>
    <w:sectPr w:rsidR="000A5B69" w:rsidRPr="002B2919"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D2" w:rsidRDefault="00B854D8">
      <w:r>
        <w:separator/>
      </w:r>
    </w:p>
  </w:endnote>
  <w:endnote w:type="continuationSeparator" w:id="0">
    <w:p w:rsidR="00C06AD2" w:rsidRDefault="00B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99" w:rsidRDefault="00466D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D2" w:rsidRDefault="00B854D8">
      <w:r>
        <w:separator/>
      </w:r>
    </w:p>
  </w:footnote>
  <w:footnote w:type="continuationSeparator" w:id="0">
    <w:p w:rsidR="00C06AD2" w:rsidRDefault="00B8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F2B"/>
    <w:multiLevelType w:val="hybridMultilevel"/>
    <w:tmpl w:val="923A5B6A"/>
    <w:lvl w:ilvl="0" w:tplc="9536A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C46C2" w:tentative="1">
      <w:start w:val="1"/>
      <w:numFmt w:val="lowerLetter"/>
      <w:lvlText w:val="%2."/>
      <w:lvlJc w:val="left"/>
      <w:pPr>
        <w:ind w:left="1440" w:hanging="360"/>
      </w:pPr>
    </w:lvl>
    <w:lvl w:ilvl="2" w:tplc="0CD6BEB2" w:tentative="1">
      <w:start w:val="1"/>
      <w:numFmt w:val="lowerRoman"/>
      <w:lvlText w:val="%3."/>
      <w:lvlJc w:val="right"/>
      <w:pPr>
        <w:ind w:left="2160" w:hanging="180"/>
      </w:pPr>
    </w:lvl>
    <w:lvl w:ilvl="3" w:tplc="5F407C94" w:tentative="1">
      <w:start w:val="1"/>
      <w:numFmt w:val="decimal"/>
      <w:lvlText w:val="%4."/>
      <w:lvlJc w:val="left"/>
      <w:pPr>
        <w:ind w:left="2880" w:hanging="360"/>
      </w:pPr>
    </w:lvl>
    <w:lvl w:ilvl="4" w:tplc="C9D80176" w:tentative="1">
      <w:start w:val="1"/>
      <w:numFmt w:val="lowerLetter"/>
      <w:lvlText w:val="%5."/>
      <w:lvlJc w:val="left"/>
      <w:pPr>
        <w:ind w:left="3600" w:hanging="360"/>
      </w:pPr>
    </w:lvl>
    <w:lvl w:ilvl="5" w:tplc="7A8E3D54" w:tentative="1">
      <w:start w:val="1"/>
      <w:numFmt w:val="lowerRoman"/>
      <w:lvlText w:val="%6."/>
      <w:lvlJc w:val="right"/>
      <w:pPr>
        <w:ind w:left="4320" w:hanging="180"/>
      </w:pPr>
    </w:lvl>
    <w:lvl w:ilvl="6" w:tplc="09BE2AB8" w:tentative="1">
      <w:start w:val="1"/>
      <w:numFmt w:val="decimal"/>
      <w:lvlText w:val="%7."/>
      <w:lvlJc w:val="left"/>
      <w:pPr>
        <w:ind w:left="5040" w:hanging="360"/>
      </w:pPr>
    </w:lvl>
    <w:lvl w:ilvl="7" w:tplc="2578F03E" w:tentative="1">
      <w:start w:val="1"/>
      <w:numFmt w:val="lowerLetter"/>
      <w:lvlText w:val="%8."/>
      <w:lvlJc w:val="left"/>
      <w:pPr>
        <w:ind w:left="5760" w:hanging="360"/>
      </w:pPr>
    </w:lvl>
    <w:lvl w:ilvl="8" w:tplc="FC82B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22B"/>
    <w:multiLevelType w:val="hybridMultilevel"/>
    <w:tmpl w:val="E836187C"/>
    <w:lvl w:ilvl="0" w:tplc="54047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0397F"/>
    <w:multiLevelType w:val="hybridMultilevel"/>
    <w:tmpl w:val="8CCE3DFE"/>
    <w:lvl w:ilvl="0" w:tplc="E22EB16A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A1A0E5DE" w:tentative="1">
      <w:start w:val="1"/>
      <w:numFmt w:val="lowerLetter"/>
      <w:lvlText w:val="%2."/>
      <w:lvlJc w:val="left"/>
      <w:pPr>
        <w:ind w:left="938" w:hanging="360"/>
      </w:pPr>
    </w:lvl>
    <w:lvl w:ilvl="2" w:tplc="3170E012" w:tentative="1">
      <w:start w:val="1"/>
      <w:numFmt w:val="lowerRoman"/>
      <w:lvlText w:val="%3."/>
      <w:lvlJc w:val="right"/>
      <w:pPr>
        <w:ind w:left="1658" w:hanging="180"/>
      </w:pPr>
    </w:lvl>
    <w:lvl w:ilvl="3" w:tplc="A2C83AB8" w:tentative="1">
      <w:start w:val="1"/>
      <w:numFmt w:val="decimal"/>
      <w:lvlText w:val="%4."/>
      <w:lvlJc w:val="left"/>
      <w:pPr>
        <w:ind w:left="2378" w:hanging="360"/>
      </w:pPr>
    </w:lvl>
    <w:lvl w:ilvl="4" w:tplc="F440FBB4" w:tentative="1">
      <w:start w:val="1"/>
      <w:numFmt w:val="lowerLetter"/>
      <w:lvlText w:val="%5."/>
      <w:lvlJc w:val="left"/>
      <w:pPr>
        <w:ind w:left="3098" w:hanging="360"/>
      </w:pPr>
    </w:lvl>
    <w:lvl w:ilvl="5" w:tplc="B4EC5918" w:tentative="1">
      <w:start w:val="1"/>
      <w:numFmt w:val="lowerRoman"/>
      <w:lvlText w:val="%6."/>
      <w:lvlJc w:val="right"/>
      <w:pPr>
        <w:ind w:left="3818" w:hanging="180"/>
      </w:pPr>
    </w:lvl>
    <w:lvl w:ilvl="6" w:tplc="4956F2F8" w:tentative="1">
      <w:start w:val="1"/>
      <w:numFmt w:val="decimal"/>
      <w:lvlText w:val="%7."/>
      <w:lvlJc w:val="left"/>
      <w:pPr>
        <w:ind w:left="4538" w:hanging="360"/>
      </w:pPr>
    </w:lvl>
    <w:lvl w:ilvl="7" w:tplc="B21C758A" w:tentative="1">
      <w:start w:val="1"/>
      <w:numFmt w:val="lowerLetter"/>
      <w:lvlText w:val="%8."/>
      <w:lvlJc w:val="left"/>
      <w:pPr>
        <w:ind w:left="5258" w:hanging="360"/>
      </w:pPr>
    </w:lvl>
    <w:lvl w:ilvl="8" w:tplc="8ECA45C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0F"/>
    <w:rsid w:val="00002835"/>
    <w:rsid w:val="00096FE0"/>
    <w:rsid w:val="000A5B69"/>
    <w:rsid w:val="001110F0"/>
    <w:rsid w:val="001116F3"/>
    <w:rsid w:val="00202AE3"/>
    <w:rsid w:val="00211F6E"/>
    <w:rsid w:val="00223285"/>
    <w:rsid w:val="00231E0F"/>
    <w:rsid w:val="002B2919"/>
    <w:rsid w:val="002E591A"/>
    <w:rsid w:val="00324DB2"/>
    <w:rsid w:val="00367CE1"/>
    <w:rsid w:val="003E16CF"/>
    <w:rsid w:val="003E38E7"/>
    <w:rsid w:val="00466D22"/>
    <w:rsid w:val="004869AD"/>
    <w:rsid w:val="004F3F99"/>
    <w:rsid w:val="005E1991"/>
    <w:rsid w:val="00692C27"/>
    <w:rsid w:val="006C4E30"/>
    <w:rsid w:val="007A3BD4"/>
    <w:rsid w:val="008A5BD4"/>
    <w:rsid w:val="009443F8"/>
    <w:rsid w:val="00956CB0"/>
    <w:rsid w:val="00A720F0"/>
    <w:rsid w:val="00AB6FCA"/>
    <w:rsid w:val="00B52BAE"/>
    <w:rsid w:val="00B854D8"/>
    <w:rsid w:val="00B91DD7"/>
    <w:rsid w:val="00BB0B3A"/>
    <w:rsid w:val="00BC1E1C"/>
    <w:rsid w:val="00BC55B5"/>
    <w:rsid w:val="00C06AD2"/>
    <w:rsid w:val="00CC2DF4"/>
    <w:rsid w:val="00CE31FF"/>
    <w:rsid w:val="00D5367A"/>
    <w:rsid w:val="00DD5E77"/>
    <w:rsid w:val="00E2384A"/>
    <w:rsid w:val="00E252F2"/>
    <w:rsid w:val="00E366CA"/>
    <w:rsid w:val="00E4239F"/>
    <w:rsid w:val="00EB2613"/>
    <w:rsid w:val="00EB4366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F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F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F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F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ro78.fs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p@ro78.f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426205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@ro78.f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3982</Words>
  <Characters>22699</Characters>
  <Application>Microsoft Office Word</Application>
  <DocSecurity>0</DocSecurity>
  <Lines>189</Lines>
  <Paragraphs>53</Paragraphs>
  <ScaleCrop>false</ScaleCrop>
  <Company/>
  <LinksUpToDate>false</LinksUpToDate>
  <CharactersWithSpaces>26628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Колчина Наталья Валерьевна</cp:lastModifiedBy>
  <cp:revision>43</cp:revision>
  <dcterms:created xsi:type="dcterms:W3CDTF">2024-08-07T09:15:00Z</dcterms:created>
  <dcterms:modified xsi:type="dcterms:W3CDTF">2024-12-04T14:47:00Z</dcterms:modified>
</cp:coreProperties>
</file>