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61" w:rsidRDefault="005C45B5">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B6A61" w:rsidRDefault="005B6A61">
      <w:pPr>
        <w:spacing w:after="0"/>
        <w:jc w:val="right"/>
        <w:rPr>
          <w:rFonts w:ascii="Times New Roman" w:eastAsia="Calibri" w:hAnsi="Times New Roman" w:cs="Times New Roman"/>
          <w:sz w:val="20"/>
          <w:szCs w:val="20"/>
        </w:rPr>
      </w:pPr>
    </w:p>
    <w:p w:rsidR="00DD6220" w:rsidRPr="00BC4780" w:rsidRDefault="005C45B5" w:rsidP="00352B53">
      <w:pPr>
        <w:autoSpaceDE w:val="0"/>
        <w:autoSpaceDN w:val="0"/>
        <w:adjustRightInd w:val="0"/>
        <w:spacing w:after="0" w:line="240" w:lineRule="auto"/>
        <w:jc w:val="center"/>
        <w:rPr>
          <w:rFonts w:ascii="Times New Roman" w:hAnsi="Times New Roman" w:cs="Times New Roman"/>
          <w:b/>
          <w:sz w:val="24"/>
          <w:szCs w:val="24"/>
        </w:rPr>
      </w:pPr>
      <w:r w:rsidRPr="00BC4780">
        <w:rPr>
          <w:rFonts w:ascii="Times New Roman" w:hAnsi="Times New Roman" w:cs="Times New Roman"/>
          <w:b/>
          <w:sz w:val="24"/>
          <w:szCs w:val="24"/>
        </w:rPr>
        <w:t>Описание объекта закупки (техническое задание)</w:t>
      </w:r>
    </w:p>
    <w:p w:rsidR="005B6A61" w:rsidRPr="009F327A" w:rsidRDefault="00352B53">
      <w:pPr>
        <w:autoSpaceDE w:val="0"/>
        <w:adjustRightInd w:val="0"/>
        <w:spacing w:after="0"/>
        <w:jc w:val="center"/>
        <w:rPr>
          <w:rFonts w:ascii="Times New Roman" w:eastAsia="Calibri" w:hAnsi="Times New Roman" w:cs="Times New Roman"/>
          <w:b/>
          <w:sz w:val="24"/>
          <w:szCs w:val="24"/>
        </w:rPr>
      </w:pPr>
      <w:r w:rsidRPr="009F327A">
        <w:rPr>
          <w:rFonts w:ascii="Times New Roman" w:eastAsia="Times New Roman" w:hAnsi="Times New Roman" w:cs="Times New Roman"/>
          <w:b/>
          <w:iCs/>
          <w:sz w:val="24"/>
          <w:szCs w:val="24"/>
          <w:lang w:eastAsia="ru-RU"/>
        </w:rPr>
        <w:t xml:space="preserve">на </w:t>
      </w:r>
      <w:r w:rsidR="009F327A" w:rsidRPr="009F327A">
        <w:rPr>
          <w:rFonts w:ascii="Times New Roman" w:hAnsi="Times New Roman" w:cs="Times New Roman"/>
          <w:b/>
          <w:sz w:val="24"/>
          <w:szCs w:val="24"/>
        </w:rPr>
        <w:t xml:space="preserve">выполнение работ для обеспечения </w:t>
      </w:r>
      <w:r w:rsidR="009F327A" w:rsidRPr="009F327A">
        <w:rPr>
          <w:rFonts w:ascii="Times New Roman" w:hAnsi="Times New Roman" w:cs="Times New Roman"/>
          <w:b/>
          <w:color w:val="000000"/>
          <w:sz w:val="24"/>
          <w:szCs w:val="24"/>
        </w:rPr>
        <w:t>получателей</w:t>
      </w:r>
      <w:r w:rsidR="009F327A" w:rsidRPr="009F327A">
        <w:rPr>
          <w:rFonts w:ascii="Times New Roman" w:hAnsi="Times New Roman" w:cs="Times New Roman"/>
          <w:b/>
          <w:sz w:val="24"/>
          <w:szCs w:val="24"/>
        </w:rPr>
        <w:t xml:space="preserve"> протезами предплечья с микропроцессорным управлением </w:t>
      </w:r>
      <w:r w:rsidR="009F327A" w:rsidRPr="009F327A">
        <w:rPr>
          <w:rFonts w:ascii="Times New Roman" w:hAnsi="Times New Roman" w:cs="Times New Roman"/>
          <w:b/>
          <w:color w:val="000000"/>
          <w:sz w:val="24"/>
          <w:szCs w:val="24"/>
        </w:rPr>
        <w:t>в целях их социального обеспечения</w:t>
      </w:r>
      <w:r w:rsidR="005C45B5" w:rsidRPr="009F327A">
        <w:rPr>
          <w:rFonts w:ascii="Times New Roman" w:eastAsia="Calibri" w:hAnsi="Times New Roman" w:cs="Times New Roman"/>
          <w:b/>
          <w:sz w:val="24"/>
          <w:szCs w:val="24"/>
        </w:rPr>
        <w:t>.</w:t>
      </w:r>
    </w:p>
    <w:p w:rsidR="005B6A61" w:rsidRPr="00BC4780" w:rsidRDefault="005B6A61">
      <w:pPr>
        <w:pStyle w:val="3"/>
        <w:tabs>
          <w:tab w:val="left" w:pos="6600"/>
        </w:tabs>
        <w:spacing w:after="0" w:line="240" w:lineRule="auto"/>
        <w:jc w:val="center"/>
        <w:rPr>
          <w:bCs/>
          <w:sz w:val="18"/>
          <w:szCs w:val="18"/>
        </w:rPr>
      </w:pPr>
    </w:p>
    <w:tbl>
      <w:tblPr>
        <w:tblW w:w="1494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475"/>
        <w:gridCol w:w="3119"/>
        <w:gridCol w:w="9072"/>
        <w:gridCol w:w="850"/>
      </w:tblGrid>
      <w:tr w:rsidR="005B6A61" w:rsidTr="00904B12">
        <w:trPr>
          <w:trHeight w:val="400"/>
        </w:trPr>
        <w:tc>
          <w:tcPr>
            <w:tcW w:w="426" w:type="dxa"/>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 п/п</w:t>
            </w:r>
          </w:p>
        </w:tc>
        <w:tc>
          <w:tcPr>
            <w:tcW w:w="1475" w:type="dxa"/>
            <w:tcBorders>
              <w:right w:val="single" w:sz="4" w:space="0" w:color="auto"/>
            </w:tcBorders>
            <w:tcMar>
              <w:top w:w="55" w:type="dxa"/>
              <w:left w:w="55" w:type="dxa"/>
              <w:bottom w:w="55" w:type="dxa"/>
              <w:right w:w="55" w:type="dxa"/>
            </w:tcMar>
            <w:vAlign w:val="center"/>
          </w:tcPr>
          <w:p w:rsidR="005B6A61" w:rsidRDefault="005C45B5">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Наименование товара (работы, услуги)</w:t>
            </w:r>
          </w:p>
        </w:tc>
        <w:tc>
          <w:tcPr>
            <w:tcW w:w="12191" w:type="dxa"/>
            <w:gridSpan w:val="2"/>
            <w:tcBorders>
              <w:left w:val="single" w:sz="4" w:space="0" w:color="auto"/>
              <w:right w:val="single" w:sz="1" w:space="0" w:color="000000"/>
            </w:tcBorders>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работы (в случае отсутствия соответствующих позиций в КТРУ)</w:t>
            </w:r>
          </w:p>
        </w:tc>
        <w:tc>
          <w:tcPr>
            <w:tcW w:w="850" w:type="dxa"/>
            <w:tcBorders>
              <w:top w:val="single" w:sz="1" w:space="0" w:color="000000"/>
              <w:left w:val="single" w:sz="1" w:space="0" w:color="000000"/>
            </w:tcBorders>
            <w:shd w:val="clear" w:color="auto" w:fill="auto"/>
            <w:tcMar>
              <w:top w:w="55" w:type="dxa"/>
              <w:left w:w="55" w:type="dxa"/>
              <w:bottom w:w="55" w:type="dxa"/>
              <w:right w:w="55" w:type="dxa"/>
            </w:tcMar>
            <w:vAlign w:val="center"/>
          </w:tcPr>
          <w:p w:rsidR="005B6A61" w:rsidRDefault="005C45B5">
            <w:pPr>
              <w:suppressLineNumbers/>
              <w:snapToGrid w:val="0"/>
              <w:spacing w:after="0" w:line="240" w:lineRule="auto"/>
              <w:jc w:val="center"/>
              <w:rPr>
                <w:rFonts w:ascii="Times New Roman" w:eastAsia="Andale Sans UI" w:hAnsi="Times New Roman" w:cs="Times New Roman"/>
                <w:sz w:val="20"/>
                <w:szCs w:val="20"/>
                <w:lang w:eastAsia="zh-CN"/>
              </w:rPr>
            </w:pPr>
            <w:r>
              <w:rPr>
                <w:rFonts w:ascii="Times New Roman" w:eastAsia="Andale Sans UI" w:hAnsi="Times New Roman" w:cs="Times New Roman"/>
                <w:sz w:val="20"/>
                <w:szCs w:val="20"/>
                <w:lang w:eastAsia="zh-CN"/>
              </w:rPr>
              <w:t>Кол-во, (шт.)</w:t>
            </w:r>
          </w:p>
        </w:tc>
      </w:tr>
      <w:tr w:rsidR="008F594C" w:rsidTr="00BA446F">
        <w:trPr>
          <w:trHeight w:val="213"/>
        </w:trPr>
        <w:tc>
          <w:tcPr>
            <w:tcW w:w="426" w:type="dxa"/>
            <w:tcMar>
              <w:top w:w="55" w:type="dxa"/>
              <w:left w:w="55" w:type="dxa"/>
              <w:bottom w:w="55" w:type="dxa"/>
              <w:right w:w="55" w:type="dxa"/>
            </w:tcMar>
          </w:tcPr>
          <w:p w:rsidR="008F594C" w:rsidRDefault="008F594C">
            <w:pPr>
              <w:tabs>
                <w:tab w:val="left" w:pos="6600"/>
              </w:tabs>
              <w:spacing w:after="0" w:line="240" w:lineRule="auto"/>
              <w:contextualSpacing/>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1.</w:t>
            </w:r>
          </w:p>
        </w:tc>
        <w:tc>
          <w:tcPr>
            <w:tcW w:w="1475" w:type="dxa"/>
            <w:tcBorders>
              <w:right w:val="single" w:sz="4" w:space="0" w:color="auto"/>
            </w:tcBorders>
            <w:tcMar>
              <w:top w:w="55" w:type="dxa"/>
              <w:left w:w="55" w:type="dxa"/>
              <w:bottom w:w="55" w:type="dxa"/>
              <w:right w:w="55" w:type="dxa"/>
            </w:tcMar>
          </w:tcPr>
          <w:p w:rsidR="008F594C" w:rsidRPr="009F327A" w:rsidRDefault="009F327A" w:rsidP="008F594C">
            <w:pPr>
              <w:spacing w:line="100" w:lineRule="atLeast"/>
              <w:jc w:val="center"/>
              <w:textAlignment w:val="baseline"/>
              <w:rPr>
                <w:rFonts w:ascii="Times New Roman" w:hAnsi="Times New Roman"/>
                <w:bCs/>
                <w:kern w:val="1"/>
                <w:sz w:val="20"/>
                <w:szCs w:val="20"/>
                <w:lang w:eastAsia="ar-SA"/>
              </w:rPr>
            </w:pPr>
            <w:r w:rsidRPr="0065551E">
              <w:rPr>
                <w:rFonts w:ascii="Times New Roman" w:hAnsi="Times New Roman" w:cs="Times New Roman"/>
                <w:sz w:val="20"/>
                <w:szCs w:val="24"/>
              </w:rPr>
              <w:t xml:space="preserve">Выполнение работ для обеспечения </w:t>
            </w:r>
            <w:r w:rsidRPr="0065551E">
              <w:rPr>
                <w:rFonts w:ascii="Times New Roman" w:hAnsi="Times New Roman" w:cs="Times New Roman"/>
                <w:color w:val="000000"/>
                <w:sz w:val="20"/>
                <w:szCs w:val="24"/>
              </w:rPr>
              <w:t>получателей</w:t>
            </w:r>
            <w:r w:rsidRPr="0065551E">
              <w:rPr>
                <w:rFonts w:ascii="Times New Roman" w:hAnsi="Times New Roman" w:cs="Times New Roman"/>
                <w:sz w:val="20"/>
                <w:szCs w:val="24"/>
              </w:rPr>
              <w:t xml:space="preserve"> протезами предплечья с микропроцессорным управлением </w:t>
            </w:r>
            <w:r w:rsidRPr="0065551E">
              <w:rPr>
                <w:rFonts w:ascii="Times New Roman" w:hAnsi="Times New Roman" w:cs="Times New Roman"/>
                <w:color w:val="000000"/>
                <w:sz w:val="20"/>
                <w:szCs w:val="24"/>
              </w:rPr>
              <w:t>в целях их социального обеспечения</w:t>
            </w:r>
          </w:p>
        </w:tc>
        <w:tc>
          <w:tcPr>
            <w:tcW w:w="3119" w:type="dxa"/>
            <w:tcBorders>
              <w:left w:val="single" w:sz="4" w:space="0" w:color="auto"/>
            </w:tcBorders>
          </w:tcPr>
          <w:p w:rsidR="009F327A" w:rsidRPr="009F327A" w:rsidRDefault="00D81767" w:rsidP="009F327A">
            <w:pPr>
              <w:widowControl w:val="0"/>
              <w:spacing w:after="0" w:line="240" w:lineRule="auto"/>
              <w:ind w:right="132" w:firstLine="283"/>
              <w:jc w:val="both"/>
              <w:rPr>
                <w:rFonts w:ascii="Times New Roman" w:eastAsia="Times New Roman" w:hAnsi="Times New Roman"/>
                <w:sz w:val="20"/>
              </w:rPr>
            </w:pPr>
            <w:r w:rsidRPr="009F327A">
              <w:rPr>
                <w:rFonts w:ascii="Times New Roman" w:hAnsi="Times New Roman"/>
                <w:color w:val="000000"/>
                <w:sz w:val="20"/>
                <w:lang w:eastAsia="ru-RU"/>
              </w:rPr>
              <w:t xml:space="preserve">Описание: </w:t>
            </w:r>
            <w:r w:rsidR="009F327A" w:rsidRPr="009F327A">
              <w:rPr>
                <w:rFonts w:ascii="Times New Roman" w:eastAsia="Times New Roman" w:hAnsi="Times New Roman"/>
                <w:color w:val="000000"/>
                <w:sz w:val="20"/>
                <w:lang w:eastAsia="ru-RU" w:bidi="ru-RU"/>
              </w:rPr>
              <w:t>Протез предплечья с микропроцессорным управлением.</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Протез должен быть с внешним источником энергии, индивидуального изготовления, с изготовлением приёмной гильзы по слепку. </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Примерочная гильза должна быть из термопласта. Постоянная гильза должна быть из слоистого пластика с применением композитных материалов и литьевых смол. Крепление кисти к приемной гильзе происходит с помощью ламинируемых металлических шин. Ротация в месте крепления отсутствует. </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Внутри приёмной гильзы в проекции управляющих мышц должны быть расположены два датчика </w:t>
            </w:r>
            <w:proofErr w:type="spellStart"/>
            <w:r w:rsidRPr="009F327A">
              <w:rPr>
                <w:rFonts w:ascii="Times New Roman" w:eastAsia="Times New Roman" w:hAnsi="Times New Roman"/>
                <w:color w:val="000000"/>
                <w:sz w:val="20"/>
                <w:lang w:eastAsia="ru-RU" w:bidi="ru-RU"/>
              </w:rPr>
              <w:t>миосигналов</w:t>
            </w:r>
            <w:proofErr w:type="spellEnd"/>
            <w:r w:rsidRPr="009F327A">
              <w:rPr>
                <w:rFonts w:ascii="Times New Roman" w:eastAsia="Times New Roman" w:hAnsi="Times New Roman"/>
                <w:color w:val="000000"/>
                <w:sz w:val="20"/>
                <w:lang w:eastAsia="ru-RU" w:bidi="ru-RU"/>
              </w:rPr>
              <w:t xml:space="preserve">. </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Кисть должна быть </w:t>
            </w:r>
            <w:proofErr w:type="spellStart"/>
            <w:r w:rsidRPr="009F327A">
              <w:rPr>
                <w:rFonts w:ascii="Times New Roman" w:eastAsia="Times New Roman" w:hAnsi="Times New Roman"/>
                <w:color w:val="000000"/>
                <w:sz w:val="20"/>
                <w:lang w:eastAsia="ru-RU" w:bidi="ru-RU"/>
              </w:rPr>
              <w:t>бионическая</w:t>
            </w:r>
            <w:proofErr w:type="spellEnd"/>
            <w:r w:rsidRPr="009F327A">
              <w:rPr>
                <w:rFonts w:ascii="Times New Roman" w:eastAsia="Times New Roman" w:hAnsi="Times New Roman"/>
                <w:color w:val="000000"/>
                <w:sz w:val="20"/>
                <w:lang w:eastAsia="ru-RU" w:bidi="ru-RU"/>
              </w:rPr>
              <w:t xml:space="preserve"> с программным управлением, с независимым электромотором для каждого пальца, большой палец с бесступенчатым пассивным отведением и приведением, с возможностью программирования не менее 24 различных схватов пальцев кисти с помощью </w:t>
            </w:r>
            <w:r w:rsidRPr="009F327A">
              <w:rPr>
                <w:rFonts w:ascii="Times New Roman" w:eastAsia="Times New Roman" w:hAnsi="Times New Roman"/>
                <w:color w:val="000000"/>
                <w:sz w:val="20"/>
                <w:lang w:eastAsia="ru-RU" w:bidi="ru-RU"/>
              </w:rPr>
              <w:lastRenderedPageBreak/>
              <w:t xml:space="preserve">смартфона, с пропорциональным управлением скорости перемещения пальцев от двух датчиков </w:t>
            </w:r>
            <w:proofErr w:type="spellStart"/>
            <w:r w:rsidRPr="009F327A">
              <w:rPr>
                <w:rFonts w:ascii="Times New Roman" w:eastAsia="Times New Roman" w:hAnsi="Times New Roman"/>
                <w:color w:val="000000"/>
                <w:sz w:val="20"/>
                <w:lang w:eastAsia="ru-RU" w:bidi="ru-RU"/>
              </w:rPr>
              <w:t>миосигналов</w:t>
            </w:r>
            <w:proofErr w:type="spellEnd"/>
            <w:r w:rsidRPr="009F327A">
              <w:rPr>
                <w:rFonts w:ascii="Times New Roman" w:eastAsia="Times New Roman" w:hAnsi="Times New Roman"/>
                <w:color w:val="000000"/>
                <w:sz w:val="20"/>
                <w:lang w:eastAsia="ru-RU" w:bidi="ru-RU"/>
              </w:rPr>
              <w:t xml:space="preserve">, с питанием от аккумулятора. Аккумуляторная батарея на 2600мАч. </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Кисть должна быть укомплектована смартфоном и </w:t>
            </w:r>
            <w:proofErr w:type="spellStart"/>
            <w:r w:rsidRPr="009F327A">
              <w:rPr>
                <w:rFonts w:ascii="Times New Roman" w:eastAsia="Times New Roman" w:hAnsi="Times New Roman"/>
                <w:color w:val="000000"/>
                <w:sz w:val="20"/>
                <w:lang w:eastAsia="ru-RU" w:bidi="ru-RU"/>
              </w:rPr>
              <w:t>миотестером</w:t>
            </w:r>
            <w:proofErr w:type="spellEnd"/>
            <w:r w:rsidRPr="009F327A">
              <w:rPr>
                <w:rFonts w:ascii="Times New Roman" w:eastAsia="Times New Roman" w:hAnsi="Times New Roman"/>
                <w:color w:val="000000"/>
                <w:sz w:val="20"/>
                <w:lang w:eastAsia="ru-RU" w:bidi="ru-RU"/>
              </w:rPr>
              <w:t xml:space="preserve"> для проверки уровня </w:t>
            </w:r>
            <w:proofErr w:type="spellStart"/>
            <w:r w:rsidRPr="009F327A">
              <w:rPr>
                <w:rFonts w:ascii="Times New Roman" w:eastAsia="Times New Roman" w:hAnsi="Times New Roman"/>
                <w:color w:val="000000"/>
                <w:sz w:val="20"/>
                <w:lang w:eastAsia="ru-RU" w:bidi="ru-RU"/>
              </w:rPr>
              <w:t>миосигналов</w:t>
            </w:r>
            <w:proofErr w:type="spellEnd"/>
            <w:r w:rsidRPr="009F327A">
              <w:rPr>
                <w:rFonts w:ascii="Times New Roman" w:eastAsia="Times New Roman" w:hAnsi="Times New Roman"/>
                <w:color w:val="000000"/>
                <w:sz w:val="20"/>
                <w:lang w:eastAsia="ru-RU" w:bidi="ru-RU"/>
              </w:rPr>
              <w:t xml:space="preserve"> пациента. </w:t>
            </w:r>
          </w:p>
          <w:p w:rsidR="009F327A" w:rsidRPr="009F327A" w:rsidRDefault="009F327A" w:rsidP="009F327A">
            <w:pPr>
              <w:suppressAutoHyphens/>
              <w:spacing w:after="0" w:line="240" w:lineRule="auto"/>
              <w:ind w:right="132" w:firstLine="283"/>
              <w:jc w:val="both"/>
              <w:rPr>
                <w:rFonts w:ascii="Times New Roman" w:eastAsia="Times New Roman" w:hAnsi="Times New Roman"/>
                <w:color w:val="000000"/>
                <w:sz w:val="20"/>
                <w:lang w:eastAsia="ru-RU" w:bidi="ru-RU"/>
              </w:rPr>
            </w:pPr>
            <w:r w:rsidRPr="009F327A">
              <w:rPr>
                <w:rFonts w:ascii="Times New Roman" w:eastAsia="Times New Roman" w:hAnsi="Times New Roman"/>
                <w:color w:val="000000"/>
                <w:sz w:val="20"/>
                <w:lang w:eastAsia="ru-RU" w:bidi="ru-RU"/>
              </w:rPr>
              <w:t xml:space="preserve">Протез должен комплектоваться двумя косметическими оболочками кисти из силикона с подбором цветовых характеристик. </w:t>
            </w:r>
          </w:p>
          <w:p w:rsidR="008F594C" w:rsidRPr="009F327A" w:rsidRDefault="009F327A" w:rsidP="009F327A">
            <w:pPr>
              <w:ind w:right="132"/>
              <w:jc w:val="both"/>
              <w:rPr>
                <w:rFonts w:ascii="Times New Roman" w:hAnsi="Times New Roman"/>
                <w:color w:val="000000"/>
                <w:sz w:val="20"/>
                <w:lang w:eastAsia="ru-RU"/>
              </w:rPr>
            </w:pPr>
            <w:r w:rsidRPr="009F327A">
              <w:rPr>
                <w:rFonts w:ascii="Times New Roman" w:eastAsia="Times New Roman" w:hAnsi="Times New Roman"/>
                <w:color w:val="000000"/>
                <w:sz w:val="20"/>
                <w:lang w:eastAsia="ru-RU" w:bidi="ru-RU"/>
              </w:rPr>
              <w:t>Крепление должно быть индивидуальное за счет формы приемной гильзы протеза.</w:t>
            </w:r>
          </w:p>
        </w:tc>
        <w:tc>
          <w:tcPr>
            <w:tcW w:w="9072" w:type="dxa"/>
            <w:tcBorders>
              <w:left w:val="single" w:sz="1" w:space="0" w:color="000000"/>
              <w:right w:val="single" w:sz="1" w:space="0" w:color="000000"/>
            </w:tcBorders>
          </w:tcPr>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lastRenderedPageBreak/>
              <w:t>Требования к техническим и функциональным характеристикам работ</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 соответствии п. 1,2 ГОСТ Р 51819-2022 выполняемые работы по обеспечению Получателей протезами плеча с микропроцессорным управлением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конечностей пациентов с помощью протезов конечностей, в целях восстановления или компенсации ограничений их жизнедеятельности.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 соответствии п. 39 ГОСТ Р 51819-2022 приемная гильза протеза конечности должна 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конечности.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 соответствии п. 21 ГОСТ Р 51819-2022 функциональный узел протеза конечности должен выполнять заданную функцию и иметь конструктивно-технологическую завершенность.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В соответствии с п.5.2.1. ГОСТ Р 59544-2021 работы должны включать в себя:</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оформление карты протезирования, заказа;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изготовление изделия для примерки;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примерку приемной гильзы;</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предварительную сборку протеза;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примерку, установку, подгонку узлов, креплений;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окончательную сборку и отделку протеза;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обучение пользованию протезом, уходу за изделием и культей (недоразвитой конечностью) и выдачу готового изделия. </w:t>
            </w:r>
          </w:p>
          <w:p w:rsidR="003234E5" w:rsidRPr="003234E5" w:rsidRDefault="009F327A" w:rsidP="009F327A">
            <w:pPr>
              <w:suppressAutoHyphens/>
              <w:autoSpaceDE w:val="0"/>
              <w:adjustRightInd w:val="0"/>
              <w:spacing w:after="0" w:line="240" w:lineRule="auto"/>
              <w:ind w:left="131" w:firstLine="436"/>
              <w:jc w:val="both"/>
              <w:rPr>
                <w:rFonts w:ascii="Times New Roman" w:eastAsia="Times New Roman" w:hAnsi="Times New Roman" w:cs="Times New Roman"/>
                <w:sz w:val="20"/>
                <w:szCs w:val="20"/>
                <w:lang w:eastAsia="zh-CN"/>
              </w:rPr>
            </w:pPr>
            <w:r w:rsidRPr="009F327A">
              <w:rPr>
                <w:rFonts w:ascii="Times New Roman" w:eastAsia="Times New Roman" w:hAnsi="Times New Roman"/>
                <w:sz w:val="20"/>
                <w:szCs w:val="24"/>
                <w:lang w:eastAsia="zh-CN"/>
              </w:rPr>
              <w:t>Протезы плеча с микропроцессорным управлением должны соответствовать требованиям ГОСТ Р ИСО 22523-2007, ГОСТ Р 56138-2021, ГОСТ Р 50267.0- 92,</w:t>
            </w:r>
            <w:r w:rsidR="003234E5" w:rsidRPr="00121A5A">
              <w:t xml:space="preserve"> </w:t>
            </w:r>
            <w:r w:rsidR="003234E5" w:rsidRPr="003234E5">
              <w:rPr>
                <w:rFonts w:ascii="Times New Roman" w:hAnsi="Times New Roman" w:cs="Times New Roman"/>
                <w:sz w:val="20"/>
                <w:szCs w:val="20"/>
              </w:rPr>
              <w:t>ГОСТ Р МЭК 60601-1-2022. Национальный стандарт Российской Федерации. Изделия медицинские электрические. Часть 1. Общие требования безопасности с учетом основных функциональных характеристик" (утв. и введен в действие Приказом Росстандарта от 22.11.2022 N 1335-ст)</w:t>
            </w:r>
            <w:r w:rsidR="003810D6">
              <w:rPr>
                <w:rFonts w:ascii="Times New Roman" w:hAnsi="Times New Roman" w:cs="Times New Roman"/>
                <w:sz w:val="20"/>
                <w:szCs w:val="20"/>
              </w:rPr>
              <w:t>.</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Выполняемые работы по обеспечению Получателей протезами плеча с микропроцессорным управлением должны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 Приемная гильза протеза </w:t>
            </w:r>
            <w:r w:rsidRPr="009F327A">
              <w:rPr>
                <w:rFonts w:ascii="Times New Roman" w:eastAsia="Times New Roman" w:hAnsi="Times New Roman"/>
                <w:sz w:val="20"/>
                <w:szCs w:val="24"/>
                <w:lang w:eastAsia="zh-CN"/>
              </w:rPr>
              <w:lastRenderedPageBreak/>
              <w:t xml:space="preserve">конечности изготавливается по индивидуальному параметру Получателей и предназначается для размещения в нем культи или пораженной конечности, обеспечивая взаимодействие человека с протезом конечности. Функциональный узел протеза конечности выполняет заданную функцию и имеет конструктивно-технологическую завершенность.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Материалы, применяемые при изготовлении протеза, должны соответствовать требованиям ГОСТ Р ИСО 22523-2007, пункт 5.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 соответствии с разделом 5.6 ГОСТ Р 56138-2021 «Протезы верхних конечностей. Технические требования»: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Материалы, применяемые в протезах, должны соответствовать требованиям ГОСТ Р ИСО 22523-2007 (подраздел 5.1). </w:t>
            </w:r>
          </w:p>
          <w:p w:rsidR="003234E5" w:rsidRPr="003234E5" w:rsidRDefault="009F327A" w:rsidP="003810D6">
            <w:pPr>
              <w:pStyle w:val="a4"/>
              <w:spacing w:after="0"/>
              <w:ind w:firstLine="557"/>
              <w:jc w:val="both"/>
              <w:rPr>
                <w:rFonts w:ascii="Times New Roman" w:hAnsi="Times New Roman" w:cs="Times New Roman"/>
              </w:rPr>
            </w:pPr>
            <w:r w:rsidRPr="009F327A">
              <w:rPr>
                <w:rFonts w:ascii="Times New Roman" w:eastAsia="Times New Roman" w:hAnsi="Times New Roman"/>
                <w:szCs w:val="24"/>
                <w:lang w:eastAsia="zh-CN"/>
              </w:rPr>
              <w:t xml:space="preserve">- Материалы приемных гильз протеза, контактирующие с телом пользователя, должны соответствовать требованиям биологической безопасности по ГОСТ ISO 10993-1-2021, </w:t>
            </w:r>
            <w:r w:rsidR="003234E5" w:rsidRPr="003234E5">
              <w:rPr>
                <w:rFonts w:ascii="Times New Roman" w:hAnsi="Times New Roman" w:cs="Times New Roman"/>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 (введен в действие Приказом Росстандарта от 10.10.2023 N 1090-ст)</w:t>
            </w:r>
            <w:r w:rsidR="003810D6">
              <w:rPr>
                <w:rFonts w:ascii="Times New Roman" w:hAnsi="Times New Roman" w:cs="Times New Roman"/>
              </w:rPr>
              <w:t>.</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Металлические детали протеза изготавливают из коррозионностойких материалов, имеющих защитные или защитно-декоративные покрытия по ГОСТ 9.301-86.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Термопластичные материалы приемных гильз протеза должны обеспечивать термическую и механическую подгонку (подформовку).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 Материалы приемных гильз должны обеспечивать установку заклепочных соединений без образования растрескиваний и разрывов.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Материалы приемных гильз не должны деформироваться в процессе эксплуатации протеза.</w:t>
            </w:r>
          </w:p>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t>Требования к результатам работ</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Работы по обеспечению Получателей протезами плеча с микропроцессорным управлением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верхних конечностей должны быть выполнены с надлежащим качеством и в установленные сроки.</w:t>
            </w:r>
          </w:p>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t>Требования к размерам, упаковке и отгрузке результатов работ</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При необходимости отправка протезов к месту нахождения Получателей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t>Требования к срокам и (или) объему предоставления гарантии качества работ</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Гарантийный срок на протезы устанавливается со дня выдачи готового изделия в эксплуатацию должен составлять не менее 24 месяцев. В течение этого срока Исполнитель производит замену или ремонт изделия бесплатно. </w:t>
            </w:r>
          </w:p>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t>Требования к месту, условиям и срокам (периодам) выполнения работ</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Выполнение работ по обеспечению Получателей протезами плеча с микропроцессорным управлением производится до «15» декабря 2024 года.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Срок выполнения Работ со дня получения списков или обращения Получателя к Исполнителю по направлению Заказчика – не более 60 дней.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Место выполнения работ для обеспечения Получателей протезами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w:t>
            </w:r>
            <w:r w:rsidRPr="009F327A">
              <w:rPr>
                <w:rFonts w:ascii="Times New Roman" w:eastAsia="Times New Roman" w:hAnsi="Times New Roman"/>
                <w:sz w:val="20"/>
                <w:szCs w:val="24"/>
                <w:lang w:eastAsia="zh-CN"/>
              </w:rPr>
              <w:lastRenderedPageBreak/>
              <w:t xml:space="preserve">Доставка готового изделия при необходимости по месту жительства Получателя. Изготовление по индивидуальным слепкам.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p>
          <w:p w:rsidR="009F327A" w:rsidRPr="009F327A" w:rsidRDefault="009F327A" w:rsidP="009F327A">
            <w:pPr>
              <w:suppressAutoHyphens/>
              <w:autoSpaceDE w:val="0"/>
              <w:adjustRightInd w:val="0"/>
              <w:spacing w:after="0" w:line="240" w:lineRule="auto"/>
              <w:ind w:left="131" w:firstLine="436"/>
              <w:jc w:val="center"/>
              <w:rPr>
                <w:rFonts w:ascii="Times New Roman" w:eastAsia="Times New Roman" w:hAnsi="Times New Roman"/>
                <w:b/>
                <w:sz w:val="20"/>
                <w:szCs w:val="24"/>
                <w:lang w:eastAsia="zh-CN"/>
              </w:rPr>
            </w:pPr>
            <w:r w:rsidRPr="009F327A">
              <w:rPr>
                <w:rFonts w:ascii="Times New Roman" w:eastAsia="Times New Roman" w:hAnsi="Times New Roman"/>
                <w:b/>
                <w:sz w:val="20"/>
                <w:szCs w:val="24"/>
                <w:lang w:eastAsia="zh-CN"/>
              </w:rPr>
              <w:t>Требования к пункту выдачи Товара</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 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9F327A" w:rsidRPr="009F327A" w:rsidRDefault="009F327A" w:rsidP="009F327A">
            <w:pPr>
              <w:suppressAutoHyphens/>
              <w:autoSpaceDE w:val="0"/>
              <w:adjustRightInd w:val="0"/>
              <w:spacing w:after="0" w:line="240" w:lineRule="auto"/>
              <w:ind w:left="131" w:firstLine="436"/>
              <w:jc w:val="both"/>
              <w:rPr>
                <w:rFonts w:ascii="Times New Roman" w:eastAsia="Times New Roman" w:hAnsi="Times New Roman"/>
                <w:sz w:val="20"/>
                <w:szCs w:val="24"/>
                <w:lang w:eastAsia="zh-CN"/>
              </w:rPr>
            </w:pPr>
            <w:r w:rsidRPr="009F327A">
              <w:rPr>
                <w:rFonts w:ascii="Times New Roman" w:eastAsia="Times New Roman" w:hAnsi="Times New Roman"/>
                <w:sz w:val="20"/>
                <w:szCs w:val="24"/>
                <w:lang w:eastAsia="zh-CN"/>
              </w:rPr>
              <w:t xml:space="preserve">Пункт выдачи должен иметь туалетную комнату, оборудованную для посещения, в том числе колясочниками, со свободным и бесплатным доступом Получателей. </w:t>
            </w:r>
          </w:p>
          <w:p w:rsidR="008F594C" w:rsidRDefault="009F327A" w:rsidP="00DA42D1">
            <w:pPr>
              <w:suppressAutoHyphens/>
              <w:autoSpaceDE w:val="0"/>
              <w:adjustRightInd w:val="0"/>
              <w:spacing w:after="0" w:line="240" w:lineRule="auto"/>
              <w:ind w:left="131" w:firstLine="436"/>
              <w:jc w:val="both"/>
              <w:rPr>
                <w:rFonts w:ascii="Times New Roman" w:hAnsi="Times New Roman" w:cs="Times New Roman"/>
                <w:sz w:val="20"/>
                <w:szCs w:val="20"/>
                <w:lang w:eastAsia="zh-CN"/>
              </w:rPr>
            </w:pPr>
            <w:r w:rsidRPr="009F327A">
              <w:rPr>
                <w:rFonts w:ascii="Times New Roman" w:eastAsia="Times New Roman" w:hAnsi="Times New Roman"/>
                <w:sz w:val="20"/>
                <w:szCs w:val="24"/>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8F594C" w:rsidRDefault="008F594C">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p>
        </w:tc>
      </w:tr>
      <w:tr w:rsidR="008F594C" w:rsidTr="00904B12">
        <w:trPr>
          <w:trHeight w:val="213"/>
        </w:trPr>
        <w:tc>
          <w:tcPr>
            <w:tcW w:w="14092" w:type="dxa"/>
            <w:gridSpan w:val="4"/>
            <w:tcBorders>
              <w:right w:val="single" w:sz="1" w:space="0" w:color="000000"/>
            </w:tcBorders>
            <w:tcMar>
              <w:top w:w="55" w:type="dxa"/>
              <w:left w:w="55" w:type="dxa"/>
              <w:bottom w:w="55" w:type="dxa"/>
              <w:right w:w="55" w:type="dxa"/>
            </w:tcMar>
            <w:vAlign w:val="center"/>
          </w:tcPr>
          <w:p w:rsidR="008F594C" w:rsidRDefault="008F594C">
            <w:pPr>
              <w:shd w:val="clear" w:color="auto" w:fill="FFFFFF"/>
              <w:autoSpaceDE w:val="0"/>
              <w:spacing w:after="0" w:line="240" w:lineRule="auto"/>
              <w:ind w:left="131" w:right="131"/>
              <w:jc w:val="right"/>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ИТОГО:</w:t>
            </w:r>
          </w:p>
        </w:tc>
        <w:tc>
          <w:tcPr>
            <w:tcW w:w="85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8F594C" w:rsidRDefault="009F327A">
            <w:pPr>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bl>
    <w:p w:rsidR="005B6A61" w:rsidRDefault="005B6A61" w:rsidP="00995570">
      <w:pPr>
        <w:tabs>
          <w:tab w:val="left" w:pos="705"/>
        </w:tabs>
        <w:spacing w:after="0" w:line="240" w:lineRule="auto"/>
        <w:jc w:val="both"/>
        <w:rPr>
          <w:rFonts w:ascii="Times New Roman" w:eastAsia="Times New Roman" w:hAnsi="Times New Roman" w:cs="Times New Roman"/>
          <w:bCs/>
          <w:sz w:val="24"/>
          <w:lang w:eastAsia="ar-SA"/>
        </w:rPr>
      </w:pPr>
    </w:p>
    <w:p w:rsidR="005B6A61" w:rsidRDefault="005C45B5" w:rsidP="00995570">
      <w:pPr>
        <w:autoSpaceDE w:val="0"/>
        <w:adjustRightInd w:val="0"/>
        <w:spacing w:after="0" w:line="240" w:lineRule="auto"/>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B6A61" w:rsidRDefault="005C45B5">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p w:rsidR="005B6A61" w:rsidRDefault="005B6A61">
      <w:pPr>
        <w:tabs>
          <w:tab w:val="left" w:pos="705"/>
        </w:tabs>
        <w:jc w:val="both"/>
        <w:rPr>
          <w:rFonts w:ascii="Times New Roman" w:eastAsia="Times New Roman" w:hAnsi="Times New Roman" w:cs="Times New Roman"/>
          <w:bCs/>
          <w:sz w:val="24"/>
          <w:lang w:eastAsia="ar-SA"/>
        </w:rPr>
      </w:pPr>
    </w:p>
    <w:p w:rsidR="005B6A61" w:rsidRDefault="005B6A61">
      <w:pPr>
        <w:spacing w:after="0"/>
        <w:ind w:firstLine="851"/>
        <w:jc w:val="both"/>
        <w:rPr>
          <w:rFonts w:ascii="Times New Roman" w:eastAsia="Arial" w:hAnsi="Times New Roman" w:cs="Times New Roman"/>
          <w:color w:val="000000"/>
          <w:spacing w:val="-4"/>
          <w:sz w:val="24"/>
          <w:szCs w:val="20"/>
          <w:lang w:eastAsia="zh-CN"/>
        </w:rPr>
      </w:pPr>
    </w:p>
    <w:sectPr w:rsidR="005B6A61" w:rsidSect="00DD6220">
      <w:footerReference w:type="default" r:id="rId6"/>
      <w:pgSz w:w="16838" w:h="11905" w:orient="landscape"/>
      <w:pgMar w:top="1135" w:right="820"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4C" w:rsidRDefault="008F594C">
      <w:pPr>
        <w:spacing w:after="0" w:line="240" w:lineRule="auto"/>
      </w:pPr>
      <w:r>
        <w:separator/>
      </w:r>
    </w:p>
  </w:endnote>
  <w:endnote w:type="continuationSeparator" w:id="1">
    <w:p w:rsidR="008F594C" w:rsidRDefault="008F5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8F594C" w:rsidRDefault="00CA08E4">
        <w:pPr>
          <w:pStyle w:val="af"/>
          <w:jc w:val="center"/>
        </w:pPr>
        <w:fldSimple w:instr="PAGE   \* MERGEFORMAT">
          <w:r w:rsidR="003810D6">
            <w:rPr>
              <w:noProof/>
            </w:rPr>
            <w:t>1</w:t>
          </w:r>
        </w:fldSimple>
      </w:p>
    </w:sdtContent>
  </w:sdt>
  <w:p w:rsidR="008F594C" w:rsidRDefault="008F594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4C" w:rsidRDefault="008F594C">
      <w:pPr>
        <w:spacing w:after="0" w:line="240" w:lineRule="auto"/>
      </w:pPr>
      <w:r>
        <w:separator/>
      </w:r>
    </w:p>
  </w:footnote>
  <w:footnote w:type="continuationSeparator" w:id="1">
    <w:p w:rsidR="008F594C" w:rsidRDefault="008F5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5B6A61"/>
    <w:rsid w:val="001166C8"/>
    <w:rsid w:val="00121A5A"/>
    <w:rsid w:val="00133492"/>
    <w:rsid w:val="00307A5B"/>
    <w:rsid w:val="003234E5"/>
    <w:rsid w:val="00352B53"/>
    <w:rsid w:val="003810D6"/>
    <w:rsid w:val="003A40F8"/>
    <w:rsid w:val="00441667"/>
    <w:rsid w:val="00443B8A"/>
    <w:rsid w:val="004B5046"/>
    <w:rsid w:val="005B6A61"/>
    <w:rsid w:val="005C2A98"/>
    <w:rsid w:val="005C45B5"/>
    <w:rsid w:val="0065551E"/>
    <w:rsid w:val="00671565"/>
    <w:rsid w:val="007801B6"/>
    <w:rsid w:val="007D2990"/>
    <w:rsid w:val="008151BE"/>
    <w:rsid w:val="008F594C"/>
    <w:rsid w:val="00904B12"/>
    <w:rsid w:val="00940420"/>
    <w:rsid w:val="0097009F"/>
    <w:rsid w:val="00995570"/>
    <w:rsid w:val="009F327A"/>
    <w:rsid w:val="00A12069"/>
    <w:rsid w:val="00BA0F51"/>
    <w:rsid w:val="00BA446F"/>
    <w:rsid w:val="00BB2424"/>
    <w:rsid w:val="00BC4780"/>
    <w:rsid w:val="00CA08E4"/>
    <w:rsid w:val="00D41C80"/>
    <w:rsid w:val="00D81767"/>
    <w:rsid w:val="00DA42D1"/>
    <w:rsid w:val="00DD6220"/>
    <w:rsid w:val="00E605CC"/>
    <w:rsid w:val="00F937F2"/>
    <w:rsid w:val="00FC5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009F"/>
    <w:rPr>
      <w:sz w:val="16"/>
      <w:szCs w:val="16"/>
    </w:rPr>
  </w:style>
  <w:style w:type="paragraph" w:styleId="a4">
    <w:name w:val="annotation text"/>
    <w:basedOn w:val="a"/>
    <w:link w:val="a5"/>
    <w:uiPriority w:val="99"/>
    <w:semiHidden/>
    <w:unhideWhenUsed/>
    <w:rsid w:val="0097009F"/>
    <w:pPr>
      <w:spacing w:line="240" w:lineRule="auto"/>
    </w:pPr>
    <w:rPr>
      <w:sz w:val="20"/>
      <w:szCs w:val="20"/>
    </w:rPr>
  </w:style>
  <w:style w:type="character" w:customStyle="1" w:styleId="a5">
    <w:name w:val="Текст примечания Знак"/>
    <w:basedOn w:val="a0"/>
    <w:link w:val="a4"/>
    <w:uiPriority w:val="99"/>
    <w:semiHidden/>
    <w:rsid w:val="0097009F"/>
    <w:rPr>
      <w:sz w:val="20"/>
      <w:szCs w:val="20"/>
    </w:rPr>
  </w:style>
  <w:style w:type="paragraph" w:styleId="a6">
    <w:name w:val="annotation subject"/>
    <w:basedOn w:val="a4"/>
    <w:next w:val="a4"/>
    <w:link w:val="a7"/>
    <w:uiPriority w:val="99"/>
    <w:semiHidden/>
    <w:unhideWhenUsed/>
    <w:rsid w:val="0097009F"/>
    <w:rPr>
      <w:b/>
      <w:bCs/>
    </w:rPr>
  </w:style>
  <w:style w:type="character" w:customStyle="1" w:styleId="a7">
    <w:name w:val="Тема примечания Знак"/>
    <w:basedOn w:val="a5"/>
    <w:link w:val="a6"/>
    <w:uiPriority w:val="99"/>
    <w:semiHidden/>
    <w:rsid w:val="0097009F"/>
    <w:rPr>
      <w:b/>
      <w:bCs/>
      <w:sz w:val="20"/>
      <w:szCs w:val="20"/>
    </w:rPr>
  </w:style>
  <w:style w:type="paragraph" w:styleId="a8">
    <w:name w:val="Balloon Text"/>
    <w:basedOn w:val="a"/>
    <w:link w:val="a9"/>
    <w:uiPriority w:val="99"/>
    <w:semiHidden/>
    <w:unhideWhenUsed/>
    <w:rsid w:val="009700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009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97009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97009F"/>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97009F"/>
    <w:rPr>
      <w:vertAlign w:val="superscript"/>
    </w:rPr>
  </w:style>
  <w:style w:type="paragraph" w:styleId="ad">
    <w:name w:val="header"/>
    <w:basedOn w:val="a"/>
    <w:link w:val="ae"/>
    <w:uiPriority w:val="99"/>
    <w:unhideWhenUsed/>
    <w:rsid w:val="0097009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009F"/>
  </w:style>
  <w:style w:type="paragraph" w:styleId="af">
    <w:name w:val="footer"/>
    <w:basedOn w:val="a"/>
    <w:link w:val="af0"/>
    <w:uiPriority w:val="99"/>
    <w:unhideWhenUsed/>
    <w:rsid w:val="009700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009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97009F"/>
    <w:rPr>
      <w:rFonts w:ascii="Times New Roman" w:eastAsia="Times New Roman" w:hAnsi="Times New Roman" w:cs="Times New Roman"/>
      <w:sz w:val="20"/>
      <w:szCs w:val="20"/>
      <w:lang w:eastAsia="zh-CN"/>
    </w:rPr>
  </w:style>
  <w:style w:type="character" w:customStyle="1" w:styleId="ng-binding">
    <w:name w:val="ng-binding"/>
    <w:basedOn w:val="a0"/>
    <w:rsid w:val="0097009F"/>
  </w:style>
  <w:style w:type="paragraph" w:styleId="3">
    <w:name w:val="Body Text 3"/>
    <w:basedOn w:val="a"/>
    <w:link w:val="30"/>
    <w:uiPriority w:val="99"/>
    <w:unhideWhenUsed/>
    <w:rsid w:val="0097009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97009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97009F"/>
    <w:pPr>
      <w:ind w:left="720"/>
      <w:contextualSpacing/>
    </w:pPr>
  </w:style>
  <w:style w:type="paragraph" w:styleId="af2">
    <w:name w:val="Body Text"/>
    <w:basedOn w:val="a"/>
    <w:link w:val="af3"/>
    <w:uiPriority w:val="99"/>
    <w:semiHidden/>
    <w:unhideWhenUsed/>
    <w:rsid w:val="0097009F"/>
    <w:pPr>
      <w:spacing w:after="120"/>
    </w:pPr>
  </w:style>
  <w:style w:type="character" w:customStyle="1" w:styleId="af3">
    <w:name w:val="Основной текст Знак"/>
    <w:basedOn w:val="a0"/>
    <w:link w:val="af2"/>
    <w:uiPriority w:val="99"/>
    <w:semiHidden/>
    <w:rsid w:val="009700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047StarchikovaSO</cp:lastModifiedBy>
  <cp:revision>64</cp:revision>
  <dcterms:created xsi:type="dcterms:W3CDTF">2022-06-24T08:09:00Z</dcterms:created>
  <dcterms:modified xsi:type="dcterms:W3CDTF">2024-08-07T11:49:00Z</dcterms:modified>
</cp:coreProperties>
</file>