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4542A4" w:rsidRDefault="00C131AD" w:rsidP="00106417">
      <w:pPr>
        <w:keepLines/>
        <w:widowControl w:val="0"/>
        <w:suppressAutoHyphens/>
        <w:jc w:val="right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ADF3612" w:rsidR="0052416F" w:rsidRDefault="00C131AD" w:rsidP="00106417">
      <w:pPr>
        <w:keepLines/>
        <w:widowControl w:val="0"/>
        <w:suppressAutoHyphens/>
        <w:jc w:val="right"/>
        <w:rPr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15777AF0" w14:textId="77777777" w:rsidR="00D862FD" w:rsidRPr="002A295B" w:rsidRDefault="00D862FD" w:rsidP="00010AF3">
      <w:pPr>
        <w:keepLines/>
        <w:widowControl w:val="0"/>
        <w:suppressAutoHyphens/>
        <w:jc w:val="center"/>
        <w:rPr>
          <w:szCs w:val="24"/>
        </w:rPr>
      </w:pPr>
    </w:p>
    <w:p w14:paraId="07000000" w14:textId="4B252F20" w:rsidR="0052416F" w:rsidRPr="000437AA" w:rsidRDefault="00D862FD" w:rsidP="00010AF3">
      <w:pPr>
        <w:keepLines/>
        <w:widowControl w:val="0"/>
        <w:suppressAutoHyphens/>
        <w:jc w:val="center"/>
        <w:rPr>
          <w:b/>
          <w:szCs w:val="24"/>
        </w:rPr>
      </w:pPr>
      <w:bookmarkStart w:id="0" w:name="_GoBack"/>
      <w:r w:rsidRPr="000437AA">
        <w:rPr>
          <w:b/>
          <w:szCs w:val="24"/>
        </w:rPr>
        <w:t>Описание объекта закупки</w:t>
      </w:r>
    </w:p>
    <w:bookmarkEnd w:id="0"/>
    <w:p w14:paraId="4612D19C" w14:textId="3320B723" w:rsidR="005E5EAB" w:rsidRPr="00733F84" w:rsidRDefault="00733F84" w:rsidP="00010AF3">
      <w:pPr>
        <w:keepLines/>
        <w:widowControl w:val="0"/>
        <w:suppressAutoHyphens/>
        <w:jc w:val="center"/>
        <w:rPr>
          <w:b/>
          <w:szCs w:val="24"/>
        </w:rPr>
      </w:pPr>
      <w:r w:rsidRPr="00733F84">
        <w:rPr>
          <w:rFonts w:eastAsia="Cambria"/>
          <w:b/>
          <w:bCs/>
          <w:szCs w:val="24"/>
        </w:rPr>
        <w:t xml:space="preserve">Поставка матрасов </w:t>
      </w:r>
      <w:proofErr w:type="spellStart"/>
      <w:r w:rsidRPr="00733F84">
        <w:rPr>
          <w:rFonts w:eastAsia="Cambria"/>
          <w:b/>
          <w:bCs/>
          <w:szCs w:val="24"/>
        </w:rPr>
        <w:t>противопролежневых</w:t>
      </w:r>
      <w:proofErr w:type="spellEnd"/>
      <w:r w:rsidRPr="00733F84">
        <w:rPr>
          <w:rFonts w:eastAsia="Cambria"/>
          <w:b/>
          <w:bCs/>
          <w:szCs w:val="24"/>
        </w:rPr>
        <w:t xml:space="preserve"> с наполнителем из </w:t>
      </w:r>
      <w:proofErr w:type="spellStart"/>
      <w:r w:rsidRPr="00733F84">
        <w:rPr>
          <w:rFonts w:eastAsia="Cambria"/>
          <w:b/>
          <w:bCs/>
          <w:szCs w:val="24"/>
        </w:rPr>
        <w:t>пеноматериала</w:t>
      </w:r>
      <w:proofErr w:type="spellEnd"/>
      <w:r>
        <w:rPr>
          <w:rFonts w:eastAsia="Cambria"/>
          <w:b/>
          <w:bCs/>
          <w:szCs w:val="24"/>
        </w:rPr>
        <w:t xml:space="preserve"> </w:t>
      </w:r>
      <w:r w:rsidRPr="00733F84">
        <w:rPr>
          <w:b/>
        </w:rPr>
        <w:t>(приобретение товаров в пользу граждан в целях их социального обеспечения)</w:t>
      </w:r>
    </w:p>
    <w:p w14:paraId="5B2239D9" w14:textId="77777777" w:rsidR="00733F84" w:rsidRDefault="00733F84" w:rsidP="00010AF3">
      <w:pPr>
        <w:keepLines/>
        <w:widowControl w:val="0"/>
        <w:suppressAutoHyphens/>
        <w:jc w:val="center"/>
        <w:rPr>
          <w:b/>
          <w:szCs w:val="24"/>
        </w:rPr>
      </w:pPr>
    </w:p>
    <w:tbl>
      <w:tblPr>
        <w:tblStyle w:val="47"/>
        <w:tblW w:w="5150" w:type="pct"/>
        <w:tblLayout w:type="fixed"/>
        <w:tblLook w:val="04A0" w:firstRow="1" w:lastRow="0" w:firstColumn="1" w:lastColumn="0" w:noHBand="0" w:noVBand="1"/>
      </w:tblPr>
      <w:tblGrid>
        <w:gridCol w:w="511"/>
        <w:gridCol w:w="1581"/>
        <w:gridCol w:w="1843"/>
        <w:gridCol w:w="6662"/>
        <w:gridCol w:w="853"/>
        <w:gridCol w:w="850"/>
        <w:gridCol w:w="1276"/>
        <w:gridCol w:w="1654"/>
      </w:tblGrid>
      <w:tr w:rsidR="00003752" w:rsidRPr="00010AF3" w14:paraId="7017DE4A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09D4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4FD" w14:textId="7AECFA07" w:rsidR="006965A7" w:rsidRPr="00010AF3" w:rsidRDefault="00AC66A3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82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7DE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36A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B555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731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Цена за ед. изм.</w:t>
            </w:r>
            <w:r w:rsidRPr="00010AF3">
              <w:rPr>
                <w:color w:val="auto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010AF3">
              <w:rPr>
                <w:color w:val="auto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946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Цена по позиции</w:t>
            </w:r>
            <w:r w:rsidRPr="00010AF3">
              <w:rPr>
                <w:color w:val="auto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010AF3">
              <w:rPr>
                <w:color w:val="auto"/>
                <w:sz w:val="24"/>
                <w:szCs w:val="24"/>
                <w:lang w:eastAsia="ar-SA"/>
              </w:rPr>
              <w:t>, руб.</w:t>
            </w:r>
          </w:p>
        </w:tc>
      </w:tr>
      <w:tr w:rsidR="00003752" w:rsidRPr="00010AF3" w14:paraId="1E0D70FE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13F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9B2C" w14:textId="49EB443A" w:rsidR="006965A7" w:rsidRPr="00010AF3" w:rsidRDefault="00003752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22.19.71.190-00000006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C64B" w14:textId="6D5453D6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наполнителем из </w:t>
            </w:r>
            <w:proofErr w:type="spellStart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пеноматериала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4869" w:type="pct"/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1628"/>
              <w:gridCol w:w="2360"/>
            </w:tblGrid>
            <w:tr w:rsidR="00003752" w:rsidRPr="00010AF3" w14:paraId="4B6C20E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CC06E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30EB90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9B686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003752" w:rsidRPr="00010AF3" w14:paraId="33D475DA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69CE1" w14:textId="3B7DDD33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0AF3">
                    <w:rPr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sz w:val="24"/>
                      <w:szCs w:val="24"/>
                      <w:lang w:eastAsia="ru-RU"/>
                    </w:rPr>
                    <w:t xml:space="preserve"> матрац полиуретановый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2D133E" w14:textId="3C5C2C0C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48118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03752" w:rsidRPr="00010AF3" w14:paraId="1B5E346F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BA0CED" w14:textId="02AFACED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</w:t>
                  </w: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Наполнитель внутреннего объема </w:t>
                  </w: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противопролежневого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матраца - гель, 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8ECD0C" w14:textId="18D1CB36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CFCE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03752" w:rsidRPr="00010AF3" w14:paraId="18319813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4F3098" w14:textId="3B033B51" w:rsidR="006965A7" w:rsidRPr="00010AF3" w:rsidRDefault="001C0209" w:rsidP="00021A38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Максимальная допустимая нагрузка на изделие, кг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E032BB" w14:textId="5BF40DC2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120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06FD56" w14:textId="265680F9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485206D7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3BD7C" w14:textId="44715722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Длина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91ACF" w14:textId="74725D3D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1800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64C19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05D7138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DD42F2" w14:textId="7B54FA3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Ширина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5DF369" w14:textId="7EB6D4AD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840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4FF78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3FE5F68D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3A5CD4" w14:textId="00E60F76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Высота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2BE31" w14:textId="0DFD092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40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A73D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157761C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CC4F8F" w14:textId="77777777" w:rsidR="001C0209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Соответствие ГОСТ ISO 10993-1-2021 </w:t>
                  </w: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 xml:space="preserve">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риска", ГОСТ ISO 10993-5-2023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цитотоксичность</w:t>
                  </w:r>
                  <w:proofErr w:type="spellEnd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74305670" w14:textId="2D14DDA5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», ГОСТ ISO 10993-10-2023 «Межгосударственный стандарт. Изделия медицинские. Оценка биологического действия медицинских </w:t>
                  </w:r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70F102" w14:textId="363E32C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AD056" w14:textId="153C485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Значение характеристики не может изменяться </w:t>
                  </w: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участником закупки</w:t>
                  </w:r>
                </w:p>
              </w:tc>
            </w:tr>
          </w:tbl>
          <w:p w14:paraId="2790B6FF" w14:textId="77777777" w:rsidR="006965A7" w:rsidRPr="00010AF3" w:rsidRDefault="006965A7" w:rsidP="00010AF3">
            <w:pPr>
              <w:keepLines/>
              <w:widowControl w:val="0"/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0CE8" w14:textId="50AB2A9B" w:rsidR="006965A7" w:rsidRPr="00010AF3" w:rsidRDefault="001C0209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9EE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CDA5" w14:textId="71BB9D7A" w:rsidR="006965A7" w:rsidRPr="00010AF3" w:rsidRDefault="001C0209" w:rsidP="00010AF3">
            <w:pPr>
              <w:keepLines/>
              <w:widowControl w:val="0"/>
              <w:suppressAutoHyphens/>
              <w:ind w:hanging="41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7 882,49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926" w14:textId="6F0B0749" w:rsidR="006965A7" w:rsidRPr="00010AF3" w:rsidRDefault="001C0209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4 697 964,04</w:t>
            </w:r>
          </w:p>
        </w:tc>
      </w:tr>
      <w:tr w:rsidR="00003752" w:rsidRPr="00010AF3" w14:paraId="4390F722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7DDE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6CF7" w14:textId="5F5F6573" w:rsidR="006965A7" w:rsidRPr="00010AF3" w:rsidRDefault="00021A38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21A38">
              <w:rPr>
                <w:rFonts w:eastAsia="Times New Roman"/>
                <w:sz w:val="24"/>
                <w:szCs w:val="24"/>
                <w:lang w:eastAsia="ru-RU"/>
              </w:rPr>
              <w:t>22.19.71.190-00000006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5DE" w14:textId="6F8B77B2" w:rsidR="006965A7" w:rsidRPr="00010AF3" w:rsidRDefault="001C0209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 xml:space="preserve"> с наполнителем </w:t>
            </w:r>
            <w:r w:rsidRPr="00010A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из </w:t>
            </w:r>
            <w:proofErr w:type="spellStart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>пеноматериала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1711"/>
              <w:gridCol w:w="1711"/>
            </w:tblGrid>
            <w:tr w:rsidR="006965A7" w:rsidRPr="00010AF3" w14:paraId="4A2FAAD9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9FC9BA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0AA1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D9661F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</w:t>
                  </w: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ки в заявке</w:t>
                  </w:r>
                </w:p>
              </w:tc>
            </w:tr>
            <w:tr w:rsidR="006965A7" w:rsidRPr="00010AF3" w14:paraId="3A99F47E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BA1CC7" w14:textId="6D4E73D9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0AF3">
                    <w:rPr>
                      <w:sz w:val="24"/>
                      <w:szCs w:val="24"/>
                      <w:lang w:eastAsia="ru-RU"/>
                    </w:rPr>
                    <w:lastRenderedPageBreak/>
                    <w:t>Противопролежневый</w:t>
                  </w:r>
                  <w:proofErr w:type="spellEnd"/>
                  <w:r w:rsidRPr="00010AF3">
                    <w:rPr>
                      <w:sz w:val="24"/>
                      <w:szCs w:val="24"/>
                      <w:lang w:eastAsia="ru-RU"/>
                    </w:rPr>
                    <w:t xml:space="preserve"> матрац полиуретановый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EEBEE1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DAD9C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965A7" w:rsidRPr="00010AF3" w14:paraId="37BBA6E2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454FCE" w14:textId="3E7BD69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Наполнитель внутреннего объема </w:t>
                  </w: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противопролежневого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матраца - гель, 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1356FE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FD4137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965A7" w:rsidRPr="00010AF3" w14:paraId="08B6F183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FE0604" w14:textId="36B5CF27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Максимальная допустимая нагрузка на изделие, кг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9A019" w14:textId="57184D2F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120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F8DFE" w14:textId="355C9CC6" w:rsidR="006965A7" w:rsidRPr="00010AF3" w:rsidRDefault="00733F84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732E960B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5BF6D1" w14:textId="5F3D0D8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Длина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18B405" w14:textId="0706B301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1800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BF2D0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Участник </w:t>
                  </w: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закупки указывает конкретное значение характеристики</w:t>
                  </w:r>
                </w:p>
              </w:tc>
            </w:tr>
            <w:tr w:rsidR="006965A7" w:rsidRPr="00010AF3" w14:paraId="75BA2DC6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3F088C" w14:textId="0DCE27F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Ширина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7D9EB" w14:textId="4087FA30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840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AFFE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0F31B8F8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7AF22E" w14:textId="7B590B6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Высота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97BBE" w14:textId="67806026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1C0209"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40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FD083C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4C018365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DFC76B" w14:textId="77777777" w:rsidR="001C0209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Соответствие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10993-5-2023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цитотоксичность</w:t>
                  </w:r>
                  <w:proofErr w:type="spellEnd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0191CD67" w14:textId="38F2112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», ГОСТ ISO 10993-10-2023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818A96" w14:textId="40EF12E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E6FBC" w14:textId="0C78F3C5" w:rsidR="006965A7" w:rsidRPr="00010AF3" w:rsidRDefault="00733F84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8C76D02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6AF" w14:textId="72C15E49" w:rsidR="006965A7" w:rsidRPr="00010AF3" w:rsidRDefault="00733F84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311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4E56" w14:textId="4830322A" w:rsidR="006965A7" w:rsidRPr="00010AF3" w:rsidRDefault="00733F84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7 882,49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04B2" w14:textId="5BB93010" w:rsidR="006965A7" w:rsidRPr="00010AF3" w:rsidRDefault="00733F84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31 529,96</w:t>
            </w:r>
          </w:p>
        </w:tc>
      </w:tr>
      <w:tr w:rsidR="001311DD" w:rsidRPr="00010AF3" w14:paraId="31E74FFA" w14:textId="77777777" w:rsidTr="001311DD"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A69" w14:textId="06B0FDD2" w:rsidR="001311DD" w:rsidRPr="00010AF3" w:rsidRDefault="001311DD" w:rsidP="00010AF3">
            <w:pPr>
              <w:keepLines/>
              <w:widowControl w:val="0"/>
              <w:suppressAutoHyphens/>
              <w:rPr>
                <w:b/>
                <w:color w:val="auto"/>
                <w:szCs w:val="24"/>
                <w:lang w:eastAsia="ar-SA"/>
              </w:rPr>
            </w:pPr>
            <w:r w:rsidRPr="00010AF3">
              <w:rPr>
                <w:b/>
                <w:color w:val="auto"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C85" w14:textId="444ADEF9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color w:val="auto"/>
                <w:szCs w:val="24"/>
                <w:lang w:eastAsia="ar-SA"/>
              </w:rPr>
            </w:pPr>
            <w:r w:rsidRPr="00010AF3">
              <w:rPr>
                <w:rFonts w:eastAsia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401" w14:textId="77777777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477" w14:textId="77777777" w:rsidR="001311DD" w:rsidRPr="00010AF3" w:rsidRDefault="001311DD" w:rsidP="00010AF3">
            <w:pPr>
              <w:keepLines/>
              <w:widowControl w:val="0"/>
              <w:suppressAutoHyphens/>
              <w:rPr>
                <w:bCs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480" w14:textId="4E89DE20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szCs w:val="24"/>
              </w:rPr>
            </w:pPr>
            <w:r w:rsidRPr="00010AF3">
              <w:rPr>
                <w:rFonts w:eastAsia="Times New Roman"/>
                <w:b/>
                <w:sz w:val="24"/>
                <w:szCs w:val="24"/>
                <w:lang w:eastAsia="ru-RU"/>
              </w:rPr>
              <w:t>4 729 494,00</w:t>
            </w:r>
          </w:p>
        </w:tc>
      </w:tr>
    </w:tbl>
    <w:p w14:paraId="1F0C7B16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en-US"/>
        </w:rPr>
      </w:pPr>
      <w:r w:rsidRPr="00733F84">
        <w:rPr>
          <w:color w:val="auto"/>
          <w:szCs w:val="24"/>
          <w:lang w:eastAsia="en-US"/>
        </w:rPr>
        <w:t xml:space="preserve">В соответствии с приказом Минтруда России от </w:t>
      </w:r>
      <w:r w:rsidRPr="00733F84">
        <w:rPr>
          <w:color w:val="auto"/>
          <w:szCs w:val="24"/>
          <w:lang w:eastAsia="ar-SA"/>
        </w:rPr>
        <w:t>05.03.2021 № 107н</w:t>
      </w:r>
      <w:r w:rsidRPr="00733F84">
        <w:rPr>
          <w:color w:val="auto"/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2D107B82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733F84">
        <w:rPr>
          <w:b/>
          <w:color w:val="auto"/>
          <w:szCs w:val="24"/>
          <w:lang w:eastAsia="ar-SA"/>
        </w:rPr>
        <w:t xml:space="preserve">Требования к качеству и </w:t>
      </w:r>
      <w:r w:rsidRPr="00733F84">
        <w:rPr>
          <w:b/>
          <w:bCs/>
          <w:color w:val="auto"/>
          <w:szCs w:val="24"/>
          <w:lang w:eastAsia="ar-SA"/>
        </w:rPr>
        <w:t>безопасности товара</w:t>
      </w:r>
      <w:r w:rsidRPr="00733F84">
        <w:rPr>
          <w:b/>
          <w:color w:val="auto"/>
          <w:szCs w:val="24"/>
          <w:lang w:eastAsia="ar-SA"/>
        </w:rPr>
        <w:t>.</w:t>
      </w:r>
    </w:p>
    <w:p w14:paraId="6C5EF288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118B301D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lastRenderedPageBreak/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5177487C" w14:textId="77777777" w:rsidR="00733F84" w:rsidRPr="00733F84" w:rsidRDefault="00733F84" w:rsidP="00010AF3">
      <w:pPr>
        <w:keepLines/>
        <w:widowControl w:val="0"/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Требования к размерам, упаковке, отгрузке товара.</w:t>
      </w:r>
      <w:r w:rsidRPr="00733F84">
        <w:rPr>
          <w:color w:val="auto"/>
          <w:szCs w:val="24"/>
          <w:lang w:eastAsia="ar-SA"/>
        </w:rPr>
        <w:t xml:space="preserve"> </w:t>
      </w:r>
    </w:p>
    <w:p w14:paraId="68249B3B" w14:textId="77777777" w:rsidR="00733F84" w:rsidRPr="00733F84" w:rsidRDefault="00733F84" w:rsidP="00010AF3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5F640CA2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1C4599C4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75399E6C" w14:textId="77777777" w:rsidR="00733F84" w:rsidRPr="00733F84" w:rsidRDefault="00733F84" w:rsidP="00010AF3">
      <w:pPr>
        <w:keepLines/>
        <w:widowControl w:val="0"/>
        <w:suppressAutoHyphens/>
        <w:autoSpaceDE w:val="0"/>
        <w:ind w:firstLine="567"/>
        <w:jc w:val="both"/>
        <w:rPr>
          <w:b/>
          <w:bCs/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Требования к сроку и (или) объему предоставленных гарантий качества товара.</w:t>
      </w:r>
    </w:p>
    <w:p w14:paraId="3E7F81BB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3CA0BD5F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7D8DC890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Срок выполнения гарантийного ремонта со дня обращения Получателя не должен превышать 20 рабочих дней.</w:t>
      </w:r>
      <w:r w:rsidRPr="00733F84">
        <w:rPr>
          <w:color w:val="auto"/>
          <w:szCs w:val="24"/>
          <w:lang w:eastAsia="ar-SA"/>
        </w:rPr>
        <w:t xml:space="preserve"> </w:t>
      </w:r>
    </w:p>
    <w:p w14:paraId="43544176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pacing w:val="-4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 xml:space="preserve">В срок до </w:t>
      </w:r>
      <w:r w:rsidRPr="00733F84">
        <w:rPr>
          <w:szCs w:val="24"/>
          <w:lang w:eastAsia="ar-SA"/>
        </w:rPr>
        <w:t>30.01.2025</w:t>
      </w:r>
      <w:r w:rsidRPr="00733F84">
        <w:rPr>
          <w:color w:val="auto"/>
          <w:szCs w:val="24"/>
          <w:lang w:eastAsia="ar-SA"/>
        </w:rPr>
        <w:t xml:space="preserve">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733F84">
        <w:rPr>
          <w:color w:val="auto"/>
          <w:spacing w:val="-4"/>
          <w:szCs w:val="24"/>
          <w:lang w:eastAsia="ar-SA"/>
        </w:rPr>
        <w:t xml:space="preserve">осуществляется в соответствии с Федеральным законом от 07.02.1992 № 2300-1 </w:t>
      </w:r>
      <w:r w:rsidRPr="00733F84">
        <w:rPr>
          <w:color w:val="auto"/>
          <w:spacing w:val="-4"/>
          <w:szCs w:val="24"/>
          <w:lang w:eastAsia="ar-SA"/>
        </w:rPr>
        <w:br/>
        <w:t>«О защите прав потребителей».</w:t>
      </w:r>
    </w:p>
    <w:p w14:paraId="0C4BB12C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733F84">
        <w:rPr>
          <w:b/>
          <w:color w:val="auto"/>
          <w:szCs w:val="24"/>
          <w:lang w:eastAsia="ar-SA"/>
        </w:rPr>
        <w:t>Требования к месту, условиям и срокам (периодам) поставки Товара.</w:t>
      </w:r>
    </w:p>
    <w:p w14:paraId="67B6A905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Место поставки товара</w:t>
      </w:r>
      <w:r w:rsidRPr="00733F84">
        <w:rPr>
          <w:bCs/>
          <w:color w:val="auto"/>
          <w:szCs w:val="24"/>
          <w:lang w:eastAsia="ar-SA"/>
        </w:rPr>
        <w:t xml:space="preserve"> </w:t>
      </w:r>
    </w:p>
    <w:p w14:paraId="657F0266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Российская Федерация, Краснодарский край:</w:t>
      </w:r>
    </w:p>
    <w:p w14:paraId="548BFE3C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9A53551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 xml:space="preserve">- в стационарных пунктах выдачи, организованных в соответствии с приказом Министерства труда и социальной защиты РФ </w:t>
      </w:r>
      <w:r w:rsidRPr="00733F84">
        <w:rPr>
          <w:bCs/>
          <w:color w:val="auto"/>
          <w:szCs w:val="24"/>
          <w:lang w:eastAsia="ar-SA"/>
        </w:rPr>
        <w:br/>
        <w:t>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49E1DE4E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Сроки (периоды) поставки товара</w:t>
      </w:r>
      <w:r w:rsidRPr="00733F84">
        <w:rPr>
          <w:bCs/>
          <w:color w:val="auto"/>
          <w:szCs w:val="24"/>
          <w:lang w:eastAsia="ar-SA"/>
        </w:rPr>
        <w:t xml:space="preserve">: </w:t>
      </w:r>
    </w:p>
    <w:p w14:paraId="791A27EE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15.08.2025.</w:t>
      </w:r>
    </w:p>
    <w:p w14:paraId="230C2CD0" w14:textId="77777777" w:rsidR="0013689E" w:rsidRPr="00B93F02" w:rsidRDefault="00733F84" w:rsidP="0013689E">
      <w:pPr>
        <w:keepLines/>
        <w:widowControl w:val="0"/>
        <w:suppressAutoHyphens/>
        <w:ind w:firstLine="567"/>
        <w:jc w:val="both"/>
        <w:rPr>
          <w:szCs w:val="24"/>
          <w:lang w:eastAsia="ar-SA"/>
        </w:rPr>
      </w:pPr>
      <w:r w:rsidRPr="00733F84">
        <w:rPr>
          <w:szCs w:val="24"/>
          <w:lang w:eastAsia="ar-SA"/>
        </w:rPr>
        <w:t>До 30.01.2025 на складе Поставщика, расположенном на территории Краснодарского края, должно быть 1</w:t>
      </w:r>
      <w:r w:rsidR="0013689E">
        <w:rPr>
          <w:szCs w:val="24"/>
          <w:lang w:eastAsia="ar-SA"/>
        </w:rPr>
        <w:t>00% от общего количества Товара (для возможности Заказчику провести выборочную проверку товара)</w:t>
      </w:r>
      <w:r w:rsidR="0013689E" w:rsidRPr="00B93F02">
        <w:rPr>
          <w:szCs w:val="24"/>
          <w:lang w:eastAsia="ar-SA"/>
        </w:rPr>
        <w:t>.</w:t>
      </w:r>
    </w:p>
    <w:p w14:paraId="5B001993" w14:textId="77777777" w:rsidR="005E5EAB" w:rsidRPr="00F935B8" w:rsidRDefault="005E5EAB" w:rsidP="00010AF3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sectPr w:rsidR="005E5EAB" w:rsidRPr="00F935B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1CD4DD7D" w14:textId="77777777" w:rsidR="006965A7" w:rsidRDefault="006965A7" w:rsidP="006965A7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2D41B783" w14:textId="77777777" w:rsidR="006965A7" w:rsidRDefault="006965A7" w:rsidP="006965A7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3752"/>
    <w:rsid w:val="00004F11"/>
    <w:rsid w:val="00010AF3"/>
    <w:rsid w:val="00021A38"/>
    <w:rsid w:val="00027E1A"/>
    <w:rsid w:val="000437AA"/>
    <w:rsid w:val="0005153E"/>
    <w:rsid w:val="00084A35"/>
    <w:rsid w:val="0009531E"/>
    <w:rsid w:val="000E7E2B"/>
    <w:rsid w:val="000F20C4"/>
    <w:rsid w:val="000F43FB"/>
    <w:rsid w:val="00106417"/>
    <w:rsid w:val="001311DD"/>
    <w:rsid w:val="0013689E"/>
    <w:rsid w:val="0013772F"/>
    <w:rsid w:val="00194410"/>
    <w:rsid w:val="001967B7"/>
    <w:rsid w:val="001B422E"/>
    <w:rsid w:val="001C0209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A295B"/>
    <w:rsid w:val="002D7B85"/>
    <w:rsid w:val="002E1EDD"/>
    <w:rsid w:val="002F2C66"/>
    <w:rsid w:val="0032718C"/>
    <w:rsid w:val="0032740B"/>
    <w:rsid w:val="00353467"/>
    <w:rsid w:val="003C6425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5A7"/>
    <w:rsid w:val="00696F3D"/>
    <w:rsid w:val="006978FC"/>
    <w:rsid w:val="006B7795"/>
    <w:rsid w:val="006C17CD"/>
    <w:rsid w:val="006E6C80"/>
    <w:rsid w:val="00733F84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67737"/>
    <w:rsid w:val="00AC66A3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862FD"/>
    <w:rsid w:val="00DC02BF"/>
    <w:rsid w:val="00DC615A"/>
    <w:rsid w:val="00DD390A"/>
    <w:rsid w:val="00DD7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uiPriority w:val="59"/>
    <w:rsid w:val="006965A7"/>
    <w:pPr>
      <w:spacing w:after="0" w:line="240" w:lineRule="auto"/>
    </w:pPr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4287-B430-46EF-8211-43F84E48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Чайковская Виктория Владимировна</cp:lastModifiedBy>
  <cp:revision>154</cp:revision>
  <dcterms:created xsi:type="dcterms:W3CDTF">2021-12-29T15:28:00Z</dcterms:created>
  <dcterms:modified xsi:type="dcterms:W3CDTF">2024-11-26T08:43:00Z</dcterms:modified>
</cp:coreProperties>
</file>