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07D" w:rsidRPr="00995143" w:rsidRDefault="0044007D" w:rsidP="0044007D">
      <w:pPr>
        <w:numPr>
          <w:ilvl w:val="0"/>
          <w:numId w:val="1"/>
        </w:numPr>
        <w:tabs>
          <w:tab w:val="left" w:pos="567"/>
        </w:tabs>
        <w:jc w:val="right"/>
        <w:rPr>
          <w:i/>
        </w:rPr>
      </w:pPr>
      <w:r w:rsidRPr="00995143">
        <w:rPr>
          <w:i/>
        </w:rPr>
        <w:t xml:space="preserve">Приложение № </w:t>
      </w:r>
      <w:r>
        <w:rPr>
          <w:i/>
        </w:rPr>
        <w:t>1</w:t>
      </w:r>
      <w:r w:rsidRPr="00995143">
        <w:rPr>
          <w:i/>
        </w:rPr>
        <w:t xml:space="preserve"> </w:t>
      </w:r>
    </w:p>
    <w:p w:rsidR="0044007D" w:rsidRDefault="0044007D" w:rsidP="0044007D">
      <w:pPr>
        <w:jc w:val="right"/>
        <w:rPr>
          <w:i/>
        </w:rPr>
      </w:pPr>
      <w:r w:rsidRPr="00995143">
        <w:rPr>
          <w:i/>
        </w:rPr>
        <w:t>к извещению о проведении закупки</w:t>
      </w:r>
    </w:p>
    <w:p w:rsidR="00163E5D" w:rsidRDefault="00163E5D" w:rsidP="0044007D">
      <w:pPr>
        <w:jc w:val="right"/>
      </w:pPr>
    </w:p>
    <w:p w:rsidR="00A934B2" w:rsidRDefault="00A934B2" w:rsidP="00A934B2">
      <w:pPr>
        <w:jc w:val="center"/>
        <w:rPr>
          <w:b/>
          <w:szCs w:val="28"/>
        </w:rPr>
      </w:pPr>
      <w:r>
        <w:rPr>
          <w:b/>
          <w:szCs w:val="28"/>
        </w:rPr>
        <w:t>Описание объекта закупки (техническое задание)</w:t>
      </w:r>
    </w:p>
    <w:p w:rsidR="00A934B2" w:rsidRPr="00D6454F" w:rsidRDefault="00A934B2" w:rsidP="00A934B2">
      <w:pPr>
        <w:jc w:val="center"/>
        <w:rPr>
          <w:b/>
          <w:szCs w:val="28"/>
          <w:highlight w:val="yellow"/>
        </w:rPr>
      </w:pPr>
      <w:r>
        <w:rPr>
          <w:b/>
          <w:szCs w:val="28"/>
        </w:rPr>
        <w:t xml:space="preserve">на поставку </w:t>
      </w:r>
      <w:r w:rsidRPr="00E632DF">
        <w:rPr>
          <w:b/>
        </w:rPr>
        <w:t>корсетов мягкой и полужесткой фиксации</w:t>
      </w:r>
      <w:r w:rsidRPr="00C01373">
        <w:rPr>
          <w:b/>
          <w:szCs w:val="28"/>
        </w:rPr>
        <w:t xml:space="preserve"> </w:t>
      </w:r>
      <w:r w:rsidRPr="00FB4E55">
        <w:rPr>
          <w:b/>
          <w:szCs w:val="28"/>
        </w:rPr>
        <w:t>(далее – Товар) для социального обеспечения граждан (далее – Получатели) в 202</w:t>
      </w:r>
      <w:r>
        <w:rPr>
          <w:b/>
          <w:szCs w:val="28"/>
        </w:rPr>
        <w:t>5</w:t>
      </w:r>
      <w:r w:rsidRPr="00FB4E55">
        <w:rPr>
          <w:b/>
          <w:szCs w:val="28"/>
        </w:rPr>
        <w:t xml:space="preserve"> году </w:t>
      </w:r>
    </w:p>
    <w:p w:rsidR="00A934B2" w:rsidRPr="00D6454F" w:rsidRDefault="00A934B2" w:rsidP="00A934B2">
      <w:pPr>
        <w:jc w:val="both"/>
        <w:rPr>
          <w:b/>
          <w:szCs w:val="28"/>
          <w:highlight w:val="yellow"/>
        </w:rPr>
      </w:pPr>
    </w:p>
    <w:p w:rsidR="00A934B2" w:rsidRDefault="00A934B2" w:rsidP="00A934B2">
      <w:pPr>
        <w:jc w:val="both"/>
        <w:rPr>
          <w:color w:val="FF0000"/>
        </w:rPr>
      </w:pPr>
      <w:r>
        <w:rPr>
          <w:b/>
        </w:rPr>
        <w:t>Срок поставки Товара Получателям:</w:t>
      </w:r>
      <w:r>
        <w:t xml:space="preserve"> с даты получения от Заказчика реестра получателей Товара, но не ранее 09.01.2025, и до 31.08.2025 включительно.</w:t>
      </w:r>
    </w:p>
    <w:p w:rsidR="00A934B2" w:rsidRDefault="00A934B2" w:rsidP="00A934B2">
      <w:pPr>
        <w:jc w:val="both"/>
      </w:pPr>
      <w:r>
        <w:rPr>
          <w:b/>
        </w:rPr>
        <w:t>Место доставки Товара:</w:t>
      </w:r>
      <w:r>
        <w:t xml:space="preserve"> Санкт-Петербург и Ленинградская область.</w:t>
      </w:r>
    </w:p>
    <w:p w:rsidR="00A934B2" w:rsidRDefault="00A934B2" w:rsidP="00A934B2">
      <w:pPr>
        <w:jc w:val="center"/>
        <w:rPr>
          <w:b/>
        </w:rPr>
      </w:pPr>
    </w:p>
    <w:p w:rsidR="00A934B2" w:rsidRDefault="00A934B2" w:rsidP="00A934B2">
      <w:pPr>
        <w:pStyle w:val="a4"/>
        <w:numPr>
          <w:ilvl w:val="0"/>
          <w:numId w:val="4"/>
        </w:numPr>
        <w:ind w:left="0" w:firstLine="0"/>
        <w:jc w:val="both"/>
      </w:pPr>
      <w:r>
        <w:t>Поставщик обязан обеспечить поступление Товара по наименованию, в количестве и в сроки, определенные календарным планом:</w:t>
      </w:r>
    </w:p>
    <w:p w:rsidR="00A934B2" w:rsidRDefault="00A934B2" w:rsidP="00A934B2">
      <w:pPr>
        <w:ind w:left="360"/>
        <w:jc w:val="both"/>
      </w:pPr>
    </w:p>
    <w:tbl>
      <w:tblPr>
        <w:tblpPr w:leftFromText="180" w:rightFromText="180" w:bottomFromText="16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2694"/>
        <w:gridCol w:w="5385"/>
        <w:gridCol w:w="993"/>
      </w:tblGrid>
      <w:tr w:rsidR="00A934B2" w:rsidTr="004D59FD">
        <w:trPr>
          <w:trHeight w:val="20"/>
        </w:trPr>
        <w:tc>
          <w:tcPr>
            <w:tcW w:w="562" w:type="dxa"/>
            <w:tcBorders>
              <w:top w:val="single" w:sz="4" w:space="0" w:color="auto"/>
              <w:left w:val="single" w:sz="4" w:space="0" w:color="auto"/>
              <w:bottom w:val="single" w:sz="4" w:space="0" w:color="auto"/>
              <w:right w:val="single" w:sz="4" w:space="0" w:color="auto"/>
            </w:tcBorders>
            <w:hideMark/>
          </w:tcPr>
          <w:p w:rsidR="00A934B2" w:rsidRDefault="00A934B2" w:rsidP="004D59FD">
            <w:pPr>
              <w:autoSpaceDE w:val="0"/>
              <w:autoSpaceDN w:val="0"/>
              <w:adjustRightInd w:val="0"/>
              <w:spacing w:line="16" w:lineRule="atLeast"/>
              <w:jc w:val="center"/>
              <w:rPr>
                <w:lang w:eastAsia="en-US"/>
              </w:rPr>
            </w:pPr>
            <w:r>
              <w:rPr>
                <w:lang w:eastAsia="en-US"/>
              </w:rPr>
              <w:t>№ п/п</w:t>
            </w:r>
          </w:p>
        </w:tc>
        <w:tc>
          <w:tcPr>
            <w:tcW w:w="2694" w:type="dxa"/>
            <w:tcBorders>
              <w:top w:val="single" w:sz="4" w:space="0" w:color="auto"/>
              <w:left w:val="single" w:sz="4" w:space="0" w:color="auto"/>
              <w:bottom w:val="single" w:sz="4" w:space="0" w:color="auto"/>
              <w:right w:val="single" w:sz="4" w:space="0" w:color="auto"/>
            </w:tcBorders>
            <w:hideMark/>
          </w:tcPr>
          <w:p w:rsidR="00A934B2" w:rsidRDefault="00A934B2" w:rsidP="004D59FD">
            <w:pPr>
              <w:autoSpaceDE w:val="0"/>
              <w:autoSpaceDN w:val="0"/>
              <w:adjustRightInd w:val="0"/>
              <w:spacing w:line="16" w:lineRule="atLeast"/>
              <w:jc w:val="center"/>
              <w:rPr>
                <w:lang w:eastAsia="en-US"/>
              </w:rPr>
            </w:pPr>
            <w:r>
              <w:rPr>
                <w:lang w:eastAsia="en-US"/>
              </w:rPr>
              <w:t>Наименование Товара</w:t>
            </w:r>
          </w:p>
        </w:tc>
        <w:tc>
          <w:tcPr>
            <w:tcW w:w="5385" w:type="dxa"/>
            <w:tcBorders>
              <w:top w:val="single" w:sz="4" w:space="0" w:color="auto"/>
              <w:left w:val="single" w:sz="4" w:space="0" w:color="auto"/>
              <w:bottom w:val="single" w:sz="4" w:space="0" w:color="auto"/>
              <w:right w:val="single" w:sz="4" w:space="0" w:color="auto"/>
            </w:tcBorders>
            <w:hideMark/>
          </w:tcPr>
          <w:p w:rsidR="00A934B2" w:rsidRDefault="00A934B2" w:rsidP="004D59FD">
            <w:pPr>
              <w:autoSpaceDE w:val="0"/>
              <w:autoSpaceDN w:val="0"/>
              <w:adjustRightInd w:val="0"/>
              <w:spacing w:line="16" w:lineRule="atLeast"/>
              <w:jc w:val="center"/>
              <w:rPr>
                <w:lang w:eastAsia="en-US"/>
              </w:rPr>
            </w:pPr>
            <w:r>
              <w:rPr>
                <w:lang w:eastAsia="en-US"/>
              </w:rPr>
              <w:t>Периоды поставки на 2025 год</w:t>
            </w:r>
          </w:p>
        </w:tc>
        <w:tc>
          <w:tcPr>
            <w:tcW w:w="993" w:type="dxa"/>
            <w:tcBorders>
              <w:top w:val="single" w:sz="4" w:space="0" w:color="auto"/>
              <w:left w:val="single" w:sz="4" w:space="0" w:color="auto"/>
              <w:bottom w:val="single" w:sz="4" w:space="0" w:color="auto"/>
              <w:right w:val="single" w:sz="4" w:space="0" w:color="auto"/>
            </w:tcBorders>
            <w:hideMark/>
          </w:tcPr>
          <w:p w:rsidR="00A934B2" w:rsidRDefault="00A934B2" w:rsidP="004D59FD">
            <w:pPr>
              <w:autoSpaceDE w:val="0"/>
              <w:autoSpaceDN w:val="0"/>
              <w:adjustRightInd w:val="0"/>
              <w:spacing w:line="16" w:lineRule="atLeast"/>
              <w:jc w:val="center"/>
              <w:rPr>
                <w:lang w:val="en-US" w:eastAsia="en-US"/>
              </w:rPr>
            </w:pPr>
            <w:r>
              <w:rPr>
                <w:lang w:eastAsia="en-US"/>
              </w:rPr>
              <w:t>Кол-во</w:t>
            </w:r>
          </w:p>
          <w:p w:rsidR="00A934B2" w:rsidRDefault="00A934B2" w:rsidP="004D59FD">
            <w:pPr>
              <w:autoSpaceDE w:val="0"/>
              <w:autoSpaceDN w:val="0"/>
              <w:adjustRightInd w:val="0"/>
              <w:spacing w:line="16" w:lineRule="atLeast"/>
              <w:jc w:val="center"/>
              <w:rPr>
                <w:lang w:eastAsia="en-US"/>
              </w:rPr>
            </w:pPr>
            <w:r>
              <w:rPr>
                <w:lang w:eastAsia="en-US"/>
              </w:rPr>
              <w:t>(шт.)</w:t>
            </w:r>
          </w:p>
        </w:tc>
      </w:tr>
      <w:tr w:rsidR="00A934B2" w:rsidTr="004D59FD">
        <w:trPr>
          <w:trHeight w:val="20"/>
        </w:trPr>
        <w:tc>
          <w:tcPr>
            <w:tcW w:w="562" w:type="dxa"/>
            <w:vMerge w:val="restart"/>
            <w:tcBorders>
              <w:top w:val="single" w:sz="4" w:space="0" w:color="auto"/>
              <w:left w:val="single" w:sz="4" w:space="0" w:color="auto"/>
              <w:right w:val="single" w:sz="4" w:space="0" w:color="auto"/>
            </w:tcBorders>
            <w:hideMark/>
          </w:tcPr>
          <w:p w:rsidR="00A934B2" w:rsidRDefault="00A934B2" w:rsidP="004D59FD">
            <w:pPr>
              <w:autoSpaceDE w:val="0"/>
              <w:autoSpaceDN w:val="0"/>
              <w:adjustRightInd w:val="0"/>
              <w:spacing w:line="256" w:lineRule="auto"/>
              <w:jc w:val="center"/>
              <w:rPr>
                <w:lang w:eastAsia="en-US"/>
              </w:rPr>
            </w:pPr>
            <w:r>
              <w:rPr>
                <w:lang w:eastAsia="en-US"/>
              </w:rPr>
              <w:t>1.</w:t>
            </w:r>
          </w:p>
        </w:tc>
        <w:tc>
          <w:tcPr>
            <w:tcW w:w="2694" w:type="dxa"/>
            <w:vMerge w:val="restart"/>
            <w:tcBorders>
              <w:top w:val="single" w:sz="4" w:space="0" w:color="auto"/>
              <w:left w:val="single" w:sz="4" w:space="0" w:color="auto"/>
              <w:right w:val="single" w:sz="4" w:space="0" w:color="auto"/>
            </w:tcBorders>
            <w:hideMark/>
          </w:tcPr>
          <w:p w:rsidR="00A934B2" w:rsidRDefault="00A934B2" w:rsidP="004D59FD">
            <w:pPr>
              <w:jc w:val="center"/>
            </w:pPr>
            <w:r>
              <w:t>Корсет мягкой фиксации</w:t>
            </w:r>
          </w:p>
          <w:p w:rsidR="00A934B2" w:rsidRPr="0031659A" w:rsidRDefault="00A934B2" w:rsidP="004D59FD">
            <w:pPr>
              <w:jc w:val="center"/>
            </w:pPr>
          </w:p>
        </w:tc>
        <w:tc>
          <w:tcPr>
            <w:tcW w:w="5385" w:type="dxa"/>
            <w:tcBorders>
              <w:top w:val="single" w:sz="4" w:space="0" w:color="auto"/>
              <w:left w:val="single" w:sz="4" w:space="0" w:color="auto"/>
              <w:bottom w:val="single" w:sz="4" w:space="0" w:color="auto"/>
              <w:right w:val="single" w:sz="4" w:space="0" w:color="auto"/>
            </w:tcBorders>
            <w:hideMark/>
          </w:tcPr>
          <w:p w:rsidR="00A934B2" w:rsidRDefault="00A934B2" w:rsidP="004D59FD">
            <w:pPr>
              <w:autoSpaceDE w:val="0"/>
              <w:autoSpaceDN w:val="0"/>
              <w:adjustRightInd w:val="0"/>
              <w:spacing w:line="16" w:lineRule="atLeast"/>
              <w:jc w:val="center"/>
              <w:rPr>
                <w:lang w:eastAsia="en-US"/>
              </w:rPr>
            </w:pPr>
            <w:r>
              <w:rPr>
                <w:lang w:eastAsia="en-US"/>
              </w:rPr>
              <w:t>В течение 2 (двух) рабочих дней с даты заключения государственного контракта</w:t>
            </w:r>
          </w:p>
        </w:tc>
        <w:tc>
          <w:tcPr>
            <w:tcW w:w="993" w:type="dxa"/>
            <w:tcBorders>
              <w:top w:val="single" w:sz="4" w:space="0" w:color="auto"/>
              <w:left w:val="single" w:sz="4" w:space="0" w:color="auto"/>
              <w:right w:val="single" w:sz="4" w:space="0" w:color="auto"/>
            </w:tcBorders>
            <w:hideMark/>
          </w:tcPr>
          <w:p w:rsidR="00A934B2" w:rsidRDefault="00A934B2" w:rsidP="004D59FD">
            <w:pPr>
              <w:autoSpaceDE w:val="0"/>
              <w:autoSpaceDN w:val="0"/>
              <w:adjustRightInd w:val="0"/>
              <w:spacing w:line="256" w:lineRule="auto"/>
              <w:jc w:val="center"/>
              <w:rPr>
                <w:lang w:eastAsia="en-US"/>
              </w:rPr>
            </w:pPr>
            <w:r>
              <w:rPr>
                <w:lang w:eastAsia="en-US"/>
              </w:rPr>
              <w:t>1</w:t>
            </w:r>
          </w:p>
        </w:tc>
      </w:tr>
      <w:tr w:rsidR="00A934B2" w:rsidTr="004D59FD">
        <w:trPr>
          <w:trHeight w:val="20"/>
        </w:trPr>
        <w:tc>
          <w:tcPr>
            <w:tcW w:w="562" w:type="dxa"/>
            <w:vMerge/>
            <w:tcBorders>
              <w:left w:val="single" w:sz="4" w:space="0" w:color="auto"/>
              <w:right w:val="single" w:sz="4" w:space="0" w:color="auto"/>
            </w:tcBorders>
          </w:tcPr>
          <w:p w:rsidR="00A934B2" w:rsidRDefault="00A934B2" w:rsidP="004D59FD">
            <w:pPr>
              <w:autoSpaceDE w:val="0"/>
              <w:autoSpaceDN w:val="0"/>
              <w:adjustRightInd w:val="0"/>
              <w:spacing w:line="256" w:lineRule="auto"/>
              <w:jc w:val="center"/>
              <w:rPr>
                <w:lang w:eastAsia="en-US"/>
              </w:rPr>
            </w:pPr>
          </w:p>
        </w:tc>
        <w:tc>
          <w:tcPr>
            <w:tcW w:w="2694" w:type="dxa"/>
            <w:vMerge/>
            <w:tcBorders>
              <w:left w:val="single" w:sz="4" w:space="0" w:color="auto"/>
              <w:right w:val="single" w:sz="4" w:space="0" w:color="auto"/>
            </w:tcBorders>
          </w:tcPr>
          <w:p w:rsidR="00A934B2" w:rsidRDefault="00A934B2" w:rsidP="004D59FD">
            <w:pPr>
              <w:spacing w:line="256" w:lineRule="auto"/>
              <w:jc w:val="center"/>
              <w:rPr>
                <w:lang w:eastAsia="en-US"/>
              </w:rPr>
            </w:pPr>
          </w:p>
        </w:tc>
        <w:tc>
          <w:tcPr>
            <w:tcW w:w="5385" w:type="dxa"/>
            <w:tcBorders>
              <w:top w:val="single" w:sz="4" w:space="0" w:color="auto"/>
              <w:left w:val="single" w:sz="4" w:space="0" w:color="auto"/>
              <w:bottom w:val="single" w:sz="4" w:space="0" w:color="auto"/>
              <w:right w:val="single" w:sz="4" w:space="0" w:color="auto"/>
            </w:tcBorders>
          </w:tcPr>
          <w:p w:rsidR="00A934B2" w:rsidRDefault="00A934B2" w:rsidP="004D59FD">
            <w:pPr>
              <w:autoSpaceDE w:val="0"/>
              <w:autoSpaceDN w:val="0"/>
              <w:adjustRightInd w:val="0"/>
              <w:spacing w:line="16" w:lineRule="atLeast"/>
              <w:jc w:val="center"/>
              <w:rPr>
                <w:lang w:eastAsia="en-US"/>
              </w:rPr>
            </w:pPr>
            <w:r>
              <w:rPr>
                <w:lang w:eastAsia="en-US"/>
              </w:rPr>
              <w:t>В течение 15 (пятнадцати) календарных дней с даты заключения государственного контракта</w:t>
            </w:r>
          </w:p>
        </w:tc>
        <w:tc>
          <w:tcPr>
            <w:tcW w:w="993" w:type="dxa"/>
            <w:tcBorders>
              <w:left w:val="single" w:sz="4" w:space="0" w:color="auto"/>
              <w:bottom w:val="single" w:sz="4" w:space="0" w:color="auto"/>
              <w:right w:val="single" w:sz="4" w:space="0" w:color="auto"/>
            </w:tcBorders>
          </w:tcPr>
          <w:p w:rsidR="00A934B2" w:rsidRDefault="00A934B2" w:rsidP="004D59FD">
            <w:pPr>
              <w:autoSpaceDE w:val="0"/>
              <w:autoSpaceDN w:val="0"/>
              <w:adjustRightInd w:val="0"/>
              <w:spacing w:line="256" w:lineRule="auto"/>
              <w:jc w:val="center"/>
              <w:rPr>
                <w:lang w:eastAsia="en-US"/>
              </w:rPr>
            </w:pPr>
            <w:r>
              <w:rPr>
                <w:lang w:eastAsia="en-US"/>
              </w:rPr>
              <w:t>53</w:t>
            </w:r>
          </w:p>
        </w:tc>
      </w:tr>
      <w:tr w:rsidR="00A934B2" w:rsidTr="004D59FD">
        <w:trPr>
          <w:trHeight w:val="20"/>
        </w:trPr>
        <w:tc>
          <w:tcPr>
            <w:tcW w:w="562" w:type="dxa"/>
            <w:vMerge w:val="restart"/>
            <w:tcBorders>
              <w:left w:val="single" w:sz="4" w:space="0" w:color="auto"/>
              <w:right w:val="single" w:sz="4" w:space="0" w:color="auto"/>
            </w:tcBorders>
            <w:hideMark/>
          </w:tcPr>
          <w:p w:rsidR="00A934B2" w:rsidRDefault="00A934B2" w:rsidP="004D59FD">
            <w:pPr>
              <w:spacing w:line="256" w:lineRule="auto"/>
              <w:rPr>
                <w:lang w:eastAsia="en-US"/>
              </w:rPr>
            </w:pPr>
            <w:r>
              <w:rPr>
                <w:lang w:eastAsia="en-US"/>
              </w:rPr>
              <w:t>2.</w:t>
            </w:r>
          </w:p>
        </w:tc>
        <w:tc>
          <w:tcPr>
            <w:tcW w:w="2694" w:type="dxa"/>
            <w:vMerge w:val="restart"/>
            <w:tcBorders>
              <w:left w:val="single" w:sz="4" w:space="0" w:color="auto"/>
              <w:right w:val="single" w:sz="4" w:space="0" w:color="auto"/>
            </w:tcBorders>
            <w:hideMark/>
          </w:tcPr>
          <w:p w:rsidR="00A934B2" w:rsidRDefault="00A934B2" w:rsidP="004D59FD">
            <w:pPr>
              <w:spacing w:line="256" w:lineRule="auto"/>
              <w:jc w:val="center"/>
              <w:rPr>
                <w:lang w:eastAsia="en-US"/>
              </w:rPr>
            </w:pPr>
            <w:r w:rsidRPr="00E632DF">
              <w:rPr>
                <w:lang w:eastAsia="en-US"/>
              </w:rPr>
              <w:t>Корсет полужесткой фиксации</w:t>
            </w:r>
          </w:p>
          <w:p w:rsidR="00A934B2" w:rsidRDefault="00A934B2" w:rsidP="004D59FD">
            <w:pPr>
              <w:spacing w:line="256" w:lineRule="auto"/>
              <w:jc w:val="center"/>
              <w:rPr>
                <w:lang w:eastAsia="en-US"/>
              </w:rPr>
            </w:pPr>
          </w:p>
        </w:tc>
        <w:tc>
          <w:tcPr>
            <w:tcW w:w="5385" w:type="dxa"/>
            <w:tcBorders>
              <w:top w:val="single" w:sz="4" w:space="0" w:color="auto"/>
              <w:left w:val="single" w:sz="4" w:space="0" w:color="auto"/>
              <w:bottom w:val="single" w:sz="4" w:space="0" w:color="auto"/>
              <w:right w:val="single" w:sz="4" w:space="0" w:color="auto"/>
            </w:tcBorders>
            <w:hideMark/>
          </w:tcPr>
          <w:p w:rsidR="00A934B2" w:rsidRDefault="00A934B2" w:rsidP="004D59FD">
            <w:pPr>
              <w:autoSpaceDE w:val="0"/>
              <w:autoSpaceDN w:val="0"/>
              <w:adjustRightInd w:val="0"/>
              <w:spacing w:line="16" w:lineRule="atLeast"/>
              <w:jc w:val="center"/>
              <w:rPr>
                <w:lang w:eastAsia="en-US"/>
              </w:rPr>
            </w:pPr>
            <w:r>
              <w:rPr>
                <w:lang w:eastAsia="en-US"/>
              </w:rPr>
              <w:t>В течение 2 (двух) рабочих дней с даты заключения государственного контракта</w:t>
            </w:r>
          </w:p>
        </w:tc>
        <w:tc>
          <w:tcPr>
            <w:tcW w:w="993" w:type="dxa"/>
            <w:tcBorders>
              <w:top w:val="single" w:sz="4" w:space="0" w:color="auto"/>
              <w:left w:val="single" w:sz="4" w:space="0" w:color="auto"/>
              <w:right w:val="single" w:sz="4" w:space="0" w:color="auto"/>
            </w:tcBorders>
            <w:hideMark/>
          </w:tcPr>
          <w:p w:rsidR="00A934B2" w:rsidRDefault="00A934B2" w:rsidP="004D59FD">
            <w:pPr>
              <w:autoSpaceDE w:val="0"/>
              <w:autoSpaceDN w:val="0"/>
              <w:adjustRightInd w:val="0"/>
              <w:spacing w:line="256" w:lineRule="auto"/>
              <w:jc w:val="center"/>
              <w:rPr>
                <w:lang w:eastAsia="en-US"/>
              </w:rPr>
            </w:pPr>
            <w:r>
              <w:rPr>
                <w:lang w:eastAsia="en-US"/>
              </w:rPr>
              <w:t>1</w:t>
            </w:r>
          </w:p>
        </w:tc>
      </w:tr>
      <w:tr w:rsidR="00A934B2" w:rsidTr="004D59FD">
        <w:trPr>
          <w:trHeight w:val="20"/>
        </w:trPr>
        <w:tc>
          <w:tcPr>
            <w:tcW w:w="562" w:type="dxa"/>
            <w:vMerge/>
            <w:tcBorders>
              <w:left w:val="single" w:sz="4" w:space="0" w:color="auto"/>
              <w:bottom w:val="single" w:sz="4" w:space="0" w:color="auto"/>
              <w:right w:val="single" w:sz="4" w:space="0" w:color="auto"/>
            </w:tcBorders>
          </w:tcPr>
          <w:p w:rsidR="00A934B2" w:rsidRDefault="00A934B2" w:rsidP="004D59FD">
            <w:pPr>
              <w:spacing w:line="256" w:lineRule="auto"/>
              <w:rPr>
                <w:lang w:eastAsia="en-US"/>
              </w:rPr>
            </w:pPr>
          </w:p>
        </w:tc>
        <w:tc>
          <w:tcPr>
            <w:tcW w:w="2694" w:type="dxa"/>
            <w:vMerge/>
            <w:tcBorders>
              <w:left w:val="single" w:sz="4" w:space="0" w:color="auto"/>
              <w:bottom w:val="single" w:sz="4" w:space="0" w:color="auto"/>
              <w:right w:val="single" w:sz="4" w:space="0" w:color="auto"/>
            </w:tcBorders>
          </w:tcPr>
          <w:p w:rsidR="00A934B2" w:rsidRDefault="00A934B2" w:rsidP="004D59FD">
            <w:pPr>
              <w:spacing w:line="256" w:lineRule="auto"/>
              <w:rPr>
                <w:lang w:eastAsia="en-US"/>
              </w:rPr>
            </w:pPr>
          </w:p>
        </w:tc>
        <w:tc>
          <w:tcPr>
            <w:tcW w:w="5385" w:type="dxa"/>
            <w:tcBorders>
              <w:top w:val="single" w:sz="4" w:space="0" w:color="auto"/>
              <w:left w:val="single" w:sz="4" w:space="0" w:color="auto"/>
              <w:bottom w:val="single" w:sz="4" w:space="0" w:color="auto"/>
              <w:right w:val="single" w:sz="4" w:space="0" w:color="auto"/>
            </w:tcBorders>
          </w:tcPr>
          <w:p w:rsidR="00A934B2" w:rsidRDefault="00A934B2" w:rsidP="004D59FD">
            <w:pPr>
              <w:autoSpaceDE w:val="0"/>
              <w:autoSpaceDN w:val="0"/>
              <w:adjustRightInd w:val="0"/>
              <w:spacing w:line="16" w:lineRule="atLeast"/>
              <w:jc w:val="center"/>
              <w:rPr>
                <w:lang w:eastAsia="en-US"/>
              </w:rPr>
            </w:pPr>
            <w:r>
              <w:rPr>
                <w:lang w:eastAsia="en-US"/>
              </w:rPr>
              <w:t>В течение 15 (пятнадцати) календарных дней с даты заключения государственного контракта</w:t>
            </w:r>
          </w:p>
        </w:tc>
        <w:tc>
          <w:tcPr>
            <w:tcW w:w="993" w:type="dxa"/>
            <w:tcBorders>
              <w:left w:val="single" w:sz="4" w:space="0" w:color="auto"/>
              <w:bottom w:val="single" w:sz="4" w:space="0" w:color="auto"/>
              <w:right w:val="single" w:sz="4" w:space="0" w:color="auto"/>
            </w:tcBorders>
          </w:tcPr>
          <w:p w:rsidR="00A934B2" w:rsidRDefault="00A934B2" w:rsidP="004D59FD">
            <w:pPr>
              <w:autoSpaceDE w:val="0"/>
              <w:autoSpaceDN w:val="0"/>
              <w:adjustRightInd w:val="0"/>
              <w:spacing w:line="256" w:lineRule="auto"/>
              <w:jc w:val="center"/>
              <w:rPr>
                <w:lang w:eastAsia="en-US"/>
              </w:rPr>
            </w:pPr>
            <w:r>
              <w:rPr>
                <w:lang w:eastAsia="en-US"/>
              </w:rPr>
              <w:t>2511</w:t>
            </w:r>
          </w:p>
        </w:tc>
      </w:tr>
      <w:tr w:rsidR="00A934B2" w:rsidTr="004D59FD">
        <w:trPr>
          <w:trHeight w:val="20"/>
        </w:trPr>
        <w:tc>
          <w:tcPr>
            <w:tcW w:w="8641" w:type="dxa"/>
            <w:gridSpan w:val="3"/>
            <w:tcBorders>
              <w:top w:val="single" w:sz="4" w:space="0" w:color="auto"/>
              <w:left w:val="single" w:sz="4" w:space="0" w:color="auto"/>
              <w:bottom w:val="single" w:sz="4" w:space="0" w:color="auto"/>
              <w:right w:val="single" w:sz="4" w:space="0" w:color="auto"/>
            </w:tcBorders>
            <w:hideMark/>
          </w:tcPr>
          <w:p w:rsidR="00A934B2" w:rsidRDefault="00A934B2" w:rsidP="004D59FD">
            <w:pPr>
              <w:autoSpaceDE w:val="0"/>
              <w:autoSpaceDN w:val="0"/>
              <w:adjustRightInd w:val="0"/>
              <w:spacing w:line="256" w:lineRule="auto"/>
              <w:rPr>
                <w:b/>
                <w:lang w:eastAsia="en-US"/>
              </w:rPr>
            </w:pPr>
            <w:r>
              <w:rPr>
                <w:b/>
                <w:lang w:eastAsia="en-US"/>
              </w:rPr>
              <w:t>ИТОГО:</w:t>
            </w:r>
          </w:p>
        </w:tc>
        <w:tc>
          <w:tcPr>
            <w:tcW w:w="993" w:type="dxa"/>
            <w:tcBorders>
              <w:top w:val="single" w:sz="4" w:space="0" w:color="auto"/>
              <w:left w:val="single" w:sz="4" w:space="0" w:color="auto"/>
              <w:bottom w:val="single" w:sz="4" w:space="0" w:color="auto"/>
              <w:right w:val="single" w:sz="4" w:space="0" w:color="auto"/>
            </w:tcBorders>
            <w:hideMark/>
          </w:tcPr>
          <w:p w:rsidR="00A934B2" w:rsidRDefault="00A934B2" w:rsidP="004D59FD">
            <w:pPr>
              <w:autoSpaceDE w:val="0"/>
              <w:autoSpaceDN w:val="0"/>
              <w:adjustRightInd w:val="0"/>
              <w:spacing w:line="256" w:lineRule="auto"/>
              <w:jc w:val="center"/>
              <w:rPr>
                <w:b/>
                <w:lang w:eastAsia="en-US"/>
              </w:rPr>
            </w:pPr>
            <w:r>
              <w:rPr>
                <w:b/>
                <w:lang w:eastAsia="en-US"/>
              </w:rPr>
              <w:t>2 566</w:t>
            </w:r>
          </w:p>
        </w:tc>
      </w:tr>
    </w:tbl>
    <w:p w:rsidR="00A934B2" w:rsidRDefault="00A934B2" w:rsidP="00A934B2">
      <w:pPr>
        <w:jc w:val="both"/>
      </w:pPr>
    </w:p>
    <w:p w:rsidR="00A934B2" w:rsidRDefault="00A934B2" w:rsidP="00A934B2">
      <w:pPr>
        <w:jc w:val="both"/>
      </w:pPr>
    </w:p>
    <w:p w:rsidR="00A934B2" w:rsidRDefault="00A934B2" w:rsidP="00A934B2">
      <w:pPr>
        <w:jc w:val="both"/>
      </w:pPr>
      <w:r>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A934B2" w:rsidRDefault="00A934B2" w:rsidP="00A934B2">
      <w:pPr>
        <w:jc w:val="both"/>
      </w:pPr>
    </w:p>
    <w:p w:rsidR="00A934B2" w:rsidRDefault="00A934B2" w:rsidP="00A934B2">
      <w:pPr>
        <w:jc w:val="both"/>
      </w:pPr>
      <w:r>
        <w:t>3.Товар должен отвечать следующим требованиям:</w:t>
      </w:r>
    </w:p>
    <w:p w:rsidR="00A934B2" w:rsidRDefault="00A934B2" w:rsidP="00A934B2">
      <w:pPr>
        <w:jc w:val="both"/>
      </w:pPr>
    </w:p>
    <w:tbl>
      <w:tblPr>
        <w:tblW w:w="53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8"/>
        <w:gridCol w:w="1564"/>
        <w:gridCol w:w="1697"/>
        <w:gridCol w:w="4394"/>
        <w:gridCol w:w="1135"/>
        <w:gridCol w:w="707"/>
      </w:tblGrid>
      <w:tr w:rsidR="00A934B2" w:rsidTr="004D59FD">
        <w:trPr>
          <w:jc w:val="center"/>
        </w:trPr>
        <w:tc>
          <w:tcPr>
            <w:tcW w:w="282" w:type="pct"/>
            <w:tcBorders>
              <w:top w:val="single" w:sz="4" w:space="0" w:color="auto"/>
              <w:left w:val="single" w:sz="4" w:space="0" w:color="auto"/>
              <w:bottom w:val="single" w:sz="4" w:space="0" w:color="auto"/>
              <w:right w:val="single" w:sz="4" w:space="0" w:color="auto"/>
            </w:tcBorders>
            <w:hideMark/>
          </w:tcPr>
          <w:p w:rsidR="00A934B2" w:rsidRDefault="00A934B2" w:rsidP="004D59FD">
            <w:pPr>
              <w:spacing w:line="256" w:lineRule="auto"/>
              <w:jc w:val="center"/>
              <w:rPr>
                <w:lang w:eastAsia="en-US"/>
              </w:rPr>
            </w:pPr>
            <w:r>
              <w:rPr>
                <w:lang w:eastAsia="en-US"/>
              </w:rPr>
              <w:t>№ п/п</w:t>
            </w:r>
          </w:p>
        </w:tc>
        <w:tc>
          <w:tcPr>
            <w:tcW w:w="777" w:type="pct"/>
            <w:tcBorders>
              <w:top w:val="single" w:sz="4" w:space="0" w:color="auto"/>
              <w:left w:val="single" w:sz="4" w:space="0" w:color="auto"/>
              <w:bottom w:val="single" w:sz="4" w:space="0" w:color="auto"/>
              <w:right w:val="single" w:sz="4" w:space="0" w:color="auto"/>
            </w:tcBorders>
            <w:hideMark/>
          </w:tcPr>
          <w:p w:rsidR="00A934B2" w:rsidRDefault="00A934B2" w:rsidP="004D59FD">
            <w:pPr>
              <w:spacing w:line="254" w:lineRule="auto"/>
              <w:jc w:val="center"/>
              <w:rPr>
                <w:color w:val="000000"/>
                <w:lang w:eastAsia="en-US"/>
              </w:rPr>
            </w:pPr>
            <w:r>
              <w:rPr>
                <w:color w:val="000000"/>
                <w:lang w:eastAsia="en-US"/>
              </w:rPr>
              <w:t>Наименование Товара</w:t>
            </w:r>
          </w:p>
        </w:tc>
        <w:tc>
          <w:tcPr>
            <w:tcW w:w="843" w:type="pct"/>
            <w:tcBorders>
              <w:top w:val="single" w:sz="4" w:space="0" w:color="auto"/>
              <w:left w:val="single" w:sz="4" w:space="0" w:color="auto"/>
              <w:bottom w:val="single" w:sz="4" w:space="0" w:color="auto"/>
              <w:right w:val="single" w:sz="4" w:space="0" w:color="auto"/>
            </w:tcBorders>
          </w:tcPr>
          <w:p w:rsidR="00A934B2" w:rsidRDefault="00A934B2" w:rsidP="004D59FD">
            <w:pPr>
              <w:spacing w:line="254" w:lineRule="auto"/>
              <w:jc w:val="center"/>
              <w:rPr>
                <w:color w:val="000000"/>
                <w:lang w:eastAsia="en-US"/>
              </w:rPr>
            </w:pPr>
            <w:r>
              <w:rPr>
                <w:color w:val="000000"/>
                <w:lang w:eastAsia="en-US"/>
              </w:rPr>
              <w:t>Наименование Товара по КТРУ</w:t>
            </w:r>
          </w:p>
        </w:tc>
        <w:tc>
          <w:tcPr>
            <w:tcW w:w="2183" w:type="pct"/>
            <w:tcBorders>
              <w:top w:val="single" w:sz="4" w:space="0" w:color="auto"/>
              <w:left w:val="single" w:sz="4" w:space="0" w:color="auto"/>
              <w:bottom w:val="single" w:sz="4" w:space="0" w:color="auto"/>
              <w:right w:val="single" w:sz="4" w:space="0" w:color="auto"/>
            </w:tcBorders>
            <w:hideMark/>
          </w:tcPr>
          <w:p w:rsidR="00A934B2" w:rsidRDefault="00A934B2" w:rsidP="004D59FD">
            <w:pPr>
              <w:spacing w:line="254" w:lineRule="auto"/>
              <w:jc w:val="center"/>
              <w:rPr>
                <w:color w:val="000000"/>
                <w:lang w:eastAsia="en-US"/>
              </w:rPr>
            </w:pPr>
            <w:r>
              <w:rPr>
                <w:color w:val="000000"/>
                <w:lang w:eastAsia="en-US"/>
              </w:rPr>
              <w:t>Характеристика Товара</w:t>
            </w:r>
          </w:p>
        </w:tc>
        <w:tc>
          <w:tcPr>
            <w:tcW w:w="564" w:type="pct"/>
            <w:tcBorders>
              <w:top w:val="single" w:sz="4" w:space="0" w:color="auto"/>
              <w:left w:val="single" w:sz="4" w:space="0" w:color="auto"/>
              <w:bottom w:val="single" w:sz="4" w:space="0" w:color="auto"/>
              <w:right w:val="single" w:sz="4" w:space="0" w:color="auto"/>
            </w:tcBorders>
            <w:hideMark/>
          </w:tcPr>
          <w:p w:rsidR="00A934B2" w:rsidRDefault="00A934B2" w:rsidP="004D59FD">
            <w:pPr>
              <w:spacing w:line="254" w:lineRule="auto"/>
              <w:jc w:val="center"/>
              <w:rPr>
                <w:color w:val="000000"/>
                <w:lang w:eastAsia="en-US"/>
              </w:rPr>
            </w:pPr>
            <w:r>
              <w:rPr>
                <w:color w:val="000000"/>
                <w:lang w:eastAsia="en-US"/>
              </w:rPr>
              <w:t>Значение характеристики</w:t>
            </w:r>
          </w:p>
        </w:tc>
        <w:tc>
          <w:tcPr>
            <w:tcW w:w="351" w:type="pct"/>
            <w:tcBorders>
              <w:top w:val="single" w:sz="4" w:space="0" w:color="auto"/>
              <w:left w:val="single" w:sz="4" w:space="0" w:color="auto"/>
              <w:bottom w:val="single" w:sz="4" w:space="0" w:color="auto"/>
              <w:right w:val="single" w:sz="4" w:space="0" w:color="auto"/>
            </w:tcBorders>
            <w:hideMark/>
          </w:tcPr>
          <w:p w:rsidR="00A934B2" w:rsidRDefault="00A934B2" w:rsidP="004D59FD">
            <w:pPr>
              <w:spacing w:line="256" w:lineRule="auto"/>
              <w:jc w:val="center"/>
              <w:rPr>
                <w:lang w:eastAsia="en-US"/>
              </w:rPr>
            </w:pPr>
            <w:r>
              <w:rPr>
                <w:lang w:eastAsia="en-US"/>
              </w:rPr>
              <w:t>Кол-во (шт.)</w:t>
            </w:r>
          </w:p>
        </w:tc>
      </w:tr>
      <w:tr w:rsidR="00A934B2" w:rsidTr="004D59FD">
        <w:trPr>
          <w:trHeight w:val="1656"/>
          <w:jc w:val="center"/>
        </w:trPr>
        <w:tc>
          <w:tcPr>
            <w:tcW w:w="282" w:type="pct"/>
            <w:tcBorders>
              <w:top w:val="single" w:sz="4" w:space="0" w:color="auto"/>
              <w:left w:val="single" w:sz="4" w:space="0" w:color="auto"/>
              <w:bottom w:val="single" w:sz="4" w:space="0" w:color="auto"/>
              <w:right w:val="single" w:sz="4" w:space="0" w:color="auto"/>
            </w:tcBorders>
            <w:hideMark/>
          </w:tcPr>
          <w:p w:rsidR="00A934B2" w:rsidRDefault="00A934B2" w:rsidP="004D59FD">
            <w:pPr>
              <w:autoSpaceDE w:val="0"/>
              <w:autoSpaceDN w:val="0"/>
              <w:adjustRightInd w:val="0"/>
              <w:spacing w:line="256" w:lineRule="auto"/>
              <w:jc w:val="center"/>
              <w:rPr>
                <w:lang w:eastAsia="en-US"/>
              </w:rPr>
            </w:pPr>
            <w:r>
              <w:rPr>
                <w:lang w:eastAsia="en-US"/>
              </w:rPr>
              <w:lastRenderedPageBreak/>
              <w:t>1.</w:t>
            </w:r>
          </w:p>
        </w:tc>
        <w:tc>
          <w:tcPr>
            <w:tcW w:w="777" w:type="pct"/>
            <w:tcBorders>
              <w:top w:val="single" w:sz="4" w:space="0" w:color="auto"/>
              <w:left w:val="single" w:sz="4" w:space="0" w:color="auto"/>
              <w:bottom w:val="single" w:sz="4" w:space="0" w:color="auto"/>
              <w:right w:val="single" w:sz="4" w:space="0" w:color="auto"/>
            </w:tcBorders>
          </w:tcPr>
          <w:p w:rsidR="00A934B2" w:rsidRDefault="00A934B2" w:rsidP="004D59FD">
            <w:pPr>
              <w:jc w:val="center"/>
            </w:pPr>
            <w:r>
              <w:t>Корсет мягкой фиксации</w:t>
            </w:r>
          </w:p>
          <w:p w:rsidR="00A934B2" w:rsidRPr="0031659A" w:rsidRDefault="00A934B2" w:rsidP="004D59FD">
            <w:pPr>
              <w:jc w:val="center"/>
            </w:pPr>
          </w:p>
        </w:tc>
        <w:tc>
          <w:tcPr>
            <w:tcW w:w="843" w:type="pct"/>
            <w:tcBorders>
              <w:top w:val="single" w:sz="4" w:space="0" w:color="auto"/>
              <w:left w:val="single" w:sz="4" w:space="0" w:color="auto"/>
              <w:bottom w:val="single" w:sz="4" w:space="0" w:color="auto"/>
              <w:right w:val="single" w:sz="4" w:space="0" w:color="auto"/>
            </w:tcBorders>
          </w:tcPr>
          <w:p w:rsidR="00A934B2" w:rsidRDefault="00A934B2" w:rsidP="004D59FD">
            <w:pPr>
              <w:spacing w:line="257" w:lineRule="auto"/>
              <w:ind w:firstLine="142"/>
              <w:jc w:val="center"/>
              <w:rPr>
                <w:lang w:eastAsia="en-US"/>
              </w:rPr>
            </w:pPr>
            <w:r>
              <w:rPr>
                <w:lang w:eastAsia="en-US"/>
              </w:rPr>
              <w:t>-</w:t>
            </w:r>
          </w:p>
        </w:tc>
        <w:tc>
          <w:tcPr>
            <w:tcW w:w="2183" w:type="pct"/>
            <w:tcBorders>
              <w:top w:val="single" w:sz="4" w:space="0" w:color="auto"/>
              <w:left w:val="single" w:sz="4" w:space="0" w:color="auto"/>
              <w:bottom w:val="single" w:sz="4" w:space="0" w:color="auto"/>
              <w:right w:val="single" w:sz="4" w:space="0" w:color="auto"/>
            </w:tcBorders>
          </w:tcPr>
          <w:p w:rsidR="00A934B2" w:rsidRDefault="00A934B2" w:rsidP="004D59FD">
            <w:pPr>
              <w:spacing w:line="257" w:lineRule="auto"/>
              <w:ind w:firstLine="142"/>
              <w:jc w:val="both"/>
              <w:rPr>
                <w:lang w:eastAsia="en-US"/>
              </w:rPr>
            </w:pPr>
            <w:r>
              <w:rPr>
                <w:lang w:eastAsia="en-US"/>
              </w:rPr>
              <w:t>Э</w:t>
            </w:r>
            <w:r w:rsidRPr="0099187D">
              <w:rPr>
                <w:lang w:eastAsia="en-US"/>
              </w:rPr>
              <w:t>ластичен и не имеет рёбер жёсткости.</w:t>
            </w:r>
          </w:p>
          <w:p w:rsidR="00A934B2" w:rsidRDefault="00A934B2" w:rsidP="004D59FD">
            <w:pPr>
              <w:spacing w:line="257" w:lineRule="auto"/>
              <w:ind w:firstLine="142"/>
              <w:jc w:val="both"/>
              <w:rPr>
                <w:lang w:eastAsia="en-US"/>
              </w:rPr>
            </w:pPr>
            <w:r>
              <w:rPr>
                <w:lang w:eastAsia="en-US"/>
              </w:rPr>
              <w:t>Назначение – обеспечение фиксации с коррекцией в заданном положении и разгрузки области поражения. Корсет мягкой фиксации обеспечивает легкую степень фиксации. Используется для облегчения нагрузки на мышцы спины при длительном сидении или стоянии.</w:t>
            </w:r>
          </w:p>
          <w:p w:rsidR="00A934B2" w:rsidRDefault="00A934B2" w:rsidP="004D59FD">
            <w:pPr>
              <w:spacing w:line="257" w:lineRule="auto"/>
              <w:ind w:firstLine="142"/>
              <w:jc w:val="both"/>
              <w:rPr>
                <w:lang w:eastAsia="en-US"/>
              </w:rPr>
            </w:pPr>
            <w:r>
              <w:rPr>
                <w:lang w:eastAsia="en-US"/>
              </w:rPr>
              <w:t xml:space="preserve">Применение в отношении различных отделов позвоночника: </w:t>
            </w:r>
            <w:proofErr w:type="spellStart"/>
            <w:r>
              <w:rPr>
                <w:lang w:eastAsia="en-US"/>
              </w:rPr>
              <w:t>нижнегрудной</w:t>
            </w:r>
            <w:proofErr w:type="spellEnd"/>
            <w:r>
              <w:rPr>
                <w:lang w:eastAsia="en-US"/>
              </w:rPr>
              <w:t xml:space="preserve"> отдел позвоночника, грудопоясничный отдел позвоночника, пояснично-крестцовый отдел позвоночника</w:t>
            </w:r>
          </w:p>
          <w:p w:rsidR="00A934B2" w:rsidRDefault="00A934B2" w:rsidP="004D59FD">
            <w:pPr>
              <w:spacing w:line="257" w:lineRule="auto"/>
              <w:ind w:firstLine="142"/>
              <w:jc w:val="both"/>
              <w:rPr>
                <w:lang w:eastAsia="en-US"/>
              </w:rPr>
            </w:pPr>
            <w:r>
              <w:rPr>
                <w:lang w:eastAsia="en-US"/>
              </w:rPr>
              <w:t>Возможность подбора в соответствии с антропометрическими данными получателей.</w:t>
            </w:r>
          </w:p>
        </w:tc>
        <w:tc>
          <w:tcPr>
            <w:tcW w:w="564" w:type="pct"/>
            <w:tcBorders>
              <w:top w:val="single" w:sz="4" w:space="0" w:color="auto"/>
              <w:left w:val="single" w:sz="4" w:space="0" w:color="auto"/>
              <w:bottom w:val="single" w:sz="4" w:space="0" w:color="auto"/>
              <w:right w:val="single" w:sz="4" w:space="0" w:color="auto"/>
            </w:tcBorders>
          </w:tcPr>
          <w:p w:rsidR="00A934B2" w:rsidRDefault="00A934B2" w:rsidP="004D59FD">
            <w:pPr>
              <w:spacing w:line="256" w:lineRule="auto"/>
              <w:jc w:val="center"/>
              <w:rPr>
                <w:lang w:eastAsia="en-US"/>
              </w:rPr>
            </w:pPr>
            <w:r>
              <w:rPr>
                <w:lang w:eastAsia="en-US"/>
              </w:rPr>
              <w:t>Наличие</w:t>
            </w:r>
          </w:p>
        </w:tc>
        <w:tc>
          <w:tcPr>
            <w:tcW w:w="351" w:type="pct"/>
            <w:tcBorders>
              <w:top w:val="single" w:sz="4" w:space="0" w:color="auto"/>
              <w:left w:val="single" w:sz="4" w:space="0" w:color="auto"/>
              <w:bottom w:val="single" w:sz="4" w:space="0" w:color="auto"/>
              <w:right w:val="single" w:sz="4" w:space="0" w:color="auto"/>
            </w:tcBorders>
          </w:tcPr>
          <w:p w:rsidR="00A934B2" w:rsidRPr="000F1752" w:rsidRDefault="00A934B2" w:rsidP="004D59FD">
            <w:pPr>
              <w:jc w:val="center"/>
              <w:rPr>
                <w:color w:val="000000"/>
                <w:sz w:val="22"/>
                <w:szCs w:val="22"/>
              </w:rPr>
            </w:pPr>
            <w:r>
              <w:rPr>
                <w:color w:val="000000"/>
                <w:sz w:val="22"/>
                <w:szCs w:val="22"/>
              </w:rPr>
              <w:t>54</w:t>
            </w:r>
          </w:p>
        </w:tc>
      </w:tr>
      <w:tr w:rsidR="00A934B2" w:rsidTr="004D59FD">
        <w:trPr>
          <w:trHeight w:val="841"/>
          <w:jc w:val="center"/>
        </w:trPr>
        <w:tc>
          <w:tcPr>
            <w:tcW w:w="282" w:type="pct"/>
            <w:tcBorders>
              <w:top w:val="single" w:sz="4" w:space="0" w:color="auto"/>
              <w:left w:val="single" w:sz="4" w:space="0" w:color="auto"/>
              <w:bottom w:val="single" w:sz="4" w:space="0" w:color="auto"/>
              <w:right w:val="single" w:sz="4" w:space="0" w:color="auto"/>
            </w:tcBorders>
          </w:tcPr>
          <w:p w:rsidR="00A934B2" w:rsidRDefault="00A934B2" w:rsidP="004D59FD">
            <w:pPr>
              <w:autoSpaceDE w:val="0"/>
              <w:autoSpaceDN w:val="0"/>
              <w:adjustRightInd w:val="0"/>
              <w:spacing w:line="256" w:lineRule="auto"/>
              <w:jc w:val="center"/>
              <w:rPr>
                <w:lang w:eastAsia="en-US"/>
              </w:rPr>
            </w:pPr>
            <w:r>
              <w:rPr>
                <w:lang w:eastAsia="en-US"/>
              </w:rPr>
              <w:t>2.</w:t>
            </w:r>
          </w:p>
        </w:tc>
        <w:tc>
          <w:tcPr>
            <w:tcW w:w="777" w:type="pct"/>
            <w:tcBorders>
              <w:top w:val="single" w:sz="4" w:space="0" w:color="auto"/>
              <w:left w:val="single" w:sz="4" w:space="0" w:color="auto"/>
              <w:bottom w:val="single" w:sz="4" w:space="0" w:color="auto"/>
              <w:right w:val="single" w:sz="4" w:space="0" w:color="auto"/>
            </w:tcBorders>
          </w:tcPr>
          <w:p w:rsidR="00A934B2" w:rsidRDefault="00A934B2" w:rsidP="004D59FD">
            <w:pPr>
              <w:spacing w:line="256" w:lineRule="auto"/>
              <w:jc w:val="center"/>
              <w:rPr>
                <w:lang w:eastAsia="en-US"/>
              </w:rPr>
            </w:pPr>
            <w:r w:rsidRPr="00E632DF">
              <w:rPr>
                <w:lang w:eastAsia="en-US"/>
              </w:rPr>
              <w:t>Корсет полужесткой фиксации</w:t>
            </w:r>
          </w:p>
          <w:p w:rsidR="00A934B2" w:rsidRPr="00CC2488" w:rsidRDefault="00A934B2" w:rsidP="004D59FD">
            <w:pPr>
              <w:spacing w:line="256" w:lineRule="auto"/>
              <w:jc w:val="center"/>
              <w:rPr>
                <w:lang w:eastAsia="en-US"/>
              </w:rPr>
            </w:pPr>
          </w:p>
        </w:tc>
        <w:tc>
          <w:tcPr>
            <w:tcW w:w="843" w:type="pct"/>
            <w:tcBorders>
              <w:top w:val="single" w:sz="4" w:space="0" w:color="auto"/>
              <w:left w:val="single" w:sz="4" w:space="0" w:color="auto"/>
              <w:bottom w:val="single" w:sz="4" w:space="0" w:color="auto"/>
              <w:right w:val="single" w:sz="4" w:space="0" w:color="auto"/>
            </w:tcBorders>
          </w:tcPr>
          <w:p w:rsidR="00A934B2" w:rsidRDefault="00A934B2" w:rsidP="004D59FD">
            <w:pPr>
              <w:spacing w:line="257" w:lineRule="auto"/>
              <w:ind w:firstLine="142"/>
              <w:jc w:val="center"/>
              <w:rPr>
                <w:lang w:eastAsia="en-US"/>
              </w:rPr>
            </w:pPr>
            <w:proofErr w:type="spellStart"/>
            <w:r w:rsidRPr="00E632DF">
              <w:rPr>
                <w:lang w:eastAsia="en-US"/>
              </w:rPr>
              <w:t>Ортез</w:t>
            </w:r>
            <w:proofErr w:type="spellEnd"/>
            <w:r w:rsidRPr="00E632DF">
              <w:rPr>
                <w:lang w:eastAsia="en-US"/>
              </w:rPr>
              <w:t xml:space="preserve"> для грудного, поясничного и крестцового отделов позвоночника, гибкий</w:t>
            </w:r>
          </w:p>
        </w:tc>
        <w:tc>
          <w:tcPr>
            <w:tcW w:w="2183" w:type="pct"/>
            <w:tcBorders>
              <w:top w:val="single" w:sz="4" w:space="0" w:color="auto"/>
              <w:left w:val="single" w:sz="4" w:space="0" w:color="auto"/>
              <w:bottom w:val="single" w:sz="4" w:space="0" w:color="auto"/>
              <w:right w:val="single" w:sz="4" w:space="0" w:color="auto"/>
            </w:tcBorders>
          </w:tcPr>
          <w:p w:rsidR="00A934B2" w:rsidRDefault="00A934B2" w:rsidP="004D59FD">
            <w:pPr>
              <w:spacing w:line="254" w:lineRule="auto"/>
              <w:jc w:val="both"/>
            </w:pPr>
            <w:r>
              <w:t>Назначение – обеспечение фиксации с коррекцией в заданном положении и разгрузки области поражения.</w:t>
            </w:r>
          </w:p>
          <w:p w:rsidR="00A934B2" w:rsidRDefault="00A934B2" w:rsidP="004D59FD">
            <w:pPr>
              <w:spacing w:line="254" w:lineRule="auto"/>
              <w:jc w:val="both"/>
            </w:pPr>
            <w:r>
              <w:t xml:space="preserve">Применение в отношении </w:t>
            </w:r>
            <w:r w:rsidRPr="004D013E">
              <w:rPr>
                <w:b/>
              </w:rPr>
              <w:t>грудопоясничного отдела позвоночника</w:t>
            </w:r>
            <w:r>
              <w:t>.</w:t>
            </w:r>
          </w:p>
          <w:p w:rsidR="00A934B2" w:rsidRDefault="00A934B2" w:rsidP="004D59FD">
            <w:pPr>
              <w:spacing w:line="254" w:lineRule="auto"/>
              <w:jc w:val="both"/>
            </w:pPr>
            <w:r>
              <w:t>Текстильная гильза со шнуровкой спереди, продольно армированная сзади металлическими или пластмассовыми планшетками</w:t>
            </w:r>
          </w:p>
          <w:p w:rsidR="00A934B2" w:rsidRPr="00D12209" w:rsidRDefault="00A934B2" w:rsidP="004D59FD">
            <w:pPr>
              <w:spacing w:line="257" w:lineRule="auto"/>
              <w:ind w:firstLine="142"/>
              <w:jc w:val="both"/>
              <w:rPr>
                <w:lang w:eastAsia="en-US"/>
              </w:rPr>
            </w:pPr>
            <w:r>
              <w:t>На внутренней стороне гильзы должен быть смягчающий слой из вспененного материала (чехол). Смягчающий слой фиксируется на внутренней стороне гильзы приклеиванием или другим способом, обеспечивающим его надежное удержание на поверхности.</w:t>
            </w:r>
          </w:p>
        </w:tc>
        <w:tc>
          <w:tcPr>
            <w:tcW w:w="564" w:type="pct"/>
            <w:tcBorders>
              <w:top w:val="single" w:sz="4" w:space="0" w:color="auto"/>
              <w:left w:val="single" w:sz="4" w:space="0" w:color="auto"/>
              <w:bottom w:val="single" w:sz="4" w:space="0" w:color="auto"/>
              <w:right w:val="single" w:sz="4" w:space="0" w:color="auto"/>
            </w:tcBorders>
          </w:tcPr>
          <w:p w:rsidR="00A934B2" w:rsidRDefault="00A934B2" w:rsidP="004D59FD">
            <w:pPr>
              <w:spacing w:line="256" w:lineRule="auto"/>
              <w:jc w:val="center"/>
              <w:rPr>
                <w:lang w:eastAsia="en-US"/>
              </w:rPr>
            </w:pPr>
            <w:r>
              <w:rPr>
                <w:lang w:eastAsia="en-US"/>
              </w:rPr>
              <w:t>Наличие</w:t>
            </w:r>
          </w:p>
        </w:tc>
        <w:tc>
          <w:tcPr>
            <w:tcW w:w="351" w:type="pct"/>
            <w:tcBorders>
              <w:top w:val="single" w:sz="4" w:space="0" w:color="auto"/>
              <w:left w:val="single" w:sz="4" w:space="0" w:color="auto"/>
              <w:bottom w:val="single" w:sz="4" w:space="0" w:color="auto"/>
              <w:right w:val="single" w:sz="4" w:space="0" w:color="auto"/>
            </w:tcBorders>
          </w:tcPr>
          <w:p w:rsidR="00A934B2" w:rsidRPr="000F1752" w:rsidRDefault="00A934B2" w:rsidP="004D59FD">
            <w:pPr>
              <w:jc w:val="center"/>
              <w:rPr>
                <w:color w:val="000000"/>
                <w:sz w:val="22"/>
                <w:szCs w:val="22"/>
              </w:rPr>
            </w:pPr>
            <w:r>
              <w:rPr>
                <w:color w:val="000000"/>
                <w:sz w:val="22"/>
                <w:szCs w:val="22"/>
              </w:rPr>
              <w:t>1 000</w:t>
            </w:r>
          </w:p>
        </w:tc>
      </w:tr>
      <w:tr w:rsidR="00A934B2" w:rsidTr="004D59FD">
        <w:trPr>
          <w:trHeight w:val="841"/>
          <w:jc w:val="center"/>
        </w:trPr>
        <w:tc>
          <w:tcPr>
            <w:tcW w:w="282" w:type="pct"/>
            <w:tcBorders>
              <w:top w:val="single" w:sz="4" w:space="0" w:color="auto"/>
              <w:left w:val="single" w:sz="4" w:space="0" w:color="auto"/>
              <w:bottom w:val="single" w:sz="4" w:space="0" w:color="auto"/>
              <w:right w:val="single" w:sz="4" w:space="0" w:color="auto"/>
            </w:tcBorders>
          </w:tcPr>
          <w:p w:rsidR="00A934B2" w:rsidRDefault="00A934B2" w:rsidP="004D59FD">
            <w:pPr>
              <w:autoSpaceDE w:val="0"/>
              <w:autoSpaceDN w:val="0"/>
              <w:adjustRightInd w:val="0"/>
              <w:spacing w:line="256" w:lineRule="auto"/>
              <w:jc w:val="center"/>
              <w:rPr>
                <w:lang w:eastAsia="en-US"/>
              </w:rPr>
            </w:pPr>
            <w:r>
              <w:rPr>
                <w:lang w:eastAsia="en-US"/>
              </w:rPr>
              <w:t>3.</w:t>
            </w:r>
          </w:p>
        </w:tc>
        <w:tc>
          <w:tcPr>
            <w:tcW w:w="777" w:type="pct"/>
            <w:tcBorders>
              <w:top w:val="single" w:sz="4" w:space="0" w:color="auto"/>
              <w:left w:val="single" w:sz="4" w:space="0" w:color="auto"/>
              <w:bottom w:val="single" w:sz="4" w:space="0" w:color="auto"/>
              <w:right w:val="single" w:sz="4" w:space="0" w:color="auto"/>
            </w:tcBorders>
          </w:tcPr>
          <w:p w:rsidR="00A934B2" w:rsidRDefault="00A934B2" w:rsidP="004D59FD">
            <w:pPr>
              <w:spacing w:line="256" w:lineRule="auto"/>
              <w:jc w:val="center"/>
              <w:rPr>
                <w:lang w:eastAsia="en-US"/>
              </w:rPr>
            </w:pPr>
            <w:r w:rsidRPr="00E632DF">
              <w:rPr>
                <w:lang w:eastAsia="en-US"/>
              </w:rPr>
              <w:t>Корсет полужесткой фиксации</w:t>
            </w:r>
          </w:p>
          <w:p w:rsidR="00A934B2" w:rsidRPr="00E632DF" w:rsidRDefault="00A934B2" w:rsidP="004D59FD">
            <w:pPr>
              <w:spacing w:line="256" w:lineRule="auto"/>
              <w:jc w:val="center"/>
              <w:rPr>
                <w:lang w:eastAsia="en-US"/>
              </w:rPr>
            </w:pPr>
          </w:p>
        </w:tc>
        <w:tc>
          <w:tcPr>
            <w:tcW w:w="843" w:type="pct"/>
            <w:tcBorders>
              <w:top w:val="single" w:sz="4" w:space="0" w:color="auto"/>
              <w:left w:val="single" w:sz="4" w:space="0" w:color="auto"/>
              <w:bottom w:val="single" w:sz="4" w:space="0" w:color="auto"/>
              <w:right w:val="single" w:sz="4" w:space="0" w:color="auto"/>
            </w:tcBorders>
          </w:tcPr>
          <w:p w:rsidR="00A934B2" w:rsidRDefault="00A934B2" w:rsidP="004D59FD">
            <w:proofErr w:type="spellStart"/>
            <w:r w:rsidRPr="002407EC">
              <w:rPr>
                <w:lang w:eastAsia="en-US"/>
              </w:rPr>
              <w:t>Ортез</w:t>
            </w:r>
            <w:proofErr w:type="spellEnd"/>
            <w:r w:rsidRPr="002407EC">
              <w:rPr>
                <w:lang w:eastAsia="en-US"/>
              </w:rPr>
              <w:t xml:space="preserve"> для грудного, поясничного и крестцового отделов позвоночника, гибкий</w:t>
            </w:r>
          </w:p>
        </w:tc>
        <w:tc>
          <w:tcPr>
            <w:tcW w:w="2183" w:type="pct"/>
            <w:tcBorders>
              <w:top w:val="single" w:sz="4" w:space="0" w:color="auto"/>
              <w:left w:val="single" w:sz="4" w:space="0" w:color="auto"/>
              <w:bottom w:val="single" w:sz="4" w:space="0" w:color="auto"/>
              <w:right w:val="single" w:sz="4" w:space="0" w:color="auto"/>
            </w:tcBorders>
          </w:tcPr>
          <w:p w:rsidR="00A934B2" w:rsidRDefault="00A934B2" w:rsidP="004D59FD">
            <w:pPr>
              <w:spacing w:line="254" w:lineRule="auto"/>
              <w:jc w:val="both"/>
            </w:pPr>
            <w:r>
              <w:t>Назначение – обеспечение фиксации с коррекцией в заданном положении и разгрузки области поражения.</w:t>
            </w:r>
          </w:p>
          <w:p w:rsidR="00A934B2" w:rsidRPr="004D013E" w:rsidRDefault="00A934B2" w:rsidP="004D59FD">
            <w:pPr>
              <w:spacing w:line="254" w:lineRule="auto"/>
              <w:jc w:val="both"/>
              <w:rPr>
                <w:b/>
              </w:rPr>
            </w:pPr>
            <w:r>
              <w:t xml:space="preserve">Применение в отношении </w:t>
            </w:r>
            <w:r w:rsidRPr="004D013E">
              <w:rPr>
                <w:b/>
              </w:rPr>
              <w:t>пояснично-крестцового отдела позвоночника.</w:t>
            </w:r>
          </w:p>
          <w:p w:rsidR="00A934B2" w:rsidRDefault="00A934B2" w:rsidP="004D59FD">
            <w:pPr>
              <w:spacing w:line="254" w:lineRule="auto"/>
              <w:jc w:val="both"/>
            </w:pPr>
            <w:r>
              <w:t>Текстильная гильза со шнуровкой спереди, продольно армированная сзади металлическими или пластмассовыми планшетками</w:t>
            </w:r>
          </w:p>
          <w:p w:rsidR="00A934B2" w:rsidRDefault="00A934B2" w:rsidP="004D59FD">
            <w:pPr>
              <w:spacing w:line="256" w:lineRule="auto"/>
              <w:jc w:val="both"/>
            </w:pPr>
            <w:r>
              <w:t>На внутренней стороне гильзы должен быть смягчающий слой из вспененного материала (чехол). Смягчающий слой фиксируется на внутренней стороне гильзы приклеиванием или другим способом, обеспечивающим его надежное удержание на поверхности.</w:t>
            </w:r>
          </w:p>
        </w:tc>
        <w:tc>
          <w:tcPr>
            <w:tcW w:w="564" w:type="pct"/>
            <w:tcBorders>
              <w:top w:val="single" w:sz="4" w:space="0" w:color="auto"/>
              <w:left w:val="single" w:sz="4" w:space="0" w:color="auto"/>
              <w:bottom w:val="single" w:sz="4" w:space="0" w:color="auto"/>
              <w:right w:val="single" w:sz="4" w:space="0" w:color="auto"/>
            </w:tcBorders>
          </w:tcPr>
          <w:p w:rsidR="00A934B2" w:rsidRDefault="00A934B2" w:rsidP="004D59FD">
            <w:pPr>
              <w:spacing w:line="256" w:lineRule="auto"/>
              <w:jc w:val="center"/>
              <w:rPr>
                <w:lang w:eastAsia="en-US"/>
              </w:rPr>
            </w:pPr>
            <w:r>
              <w:rPr>
                <w:lang w:eastAsia="en-US"/>
              </w:rPr>
              <w:t>Наличие</w:t>
            </w:r>
          </w:p>
        </w:tc>
        <w:tc>
          <w:tcPr>
            <w:tcW w:w="351" w:type="pct"/>
            <w:tcBorders>
              <w:top w:val="single" w:sz="4" w:space="0" w:color="auto"/>
              <w:left w:val="single" w:sz="4" w:space="0" w:color="auto"/>
              <w:bottom w:val="single" w:sz="4" w:space="0" w:color="auto"/>
              <w:right w:val="single" w:sz="4" w:space="0" w:color="auto"/>
            </w:tcBorders>
          </w:tcPr>
          <w:p w:rsidR="00A934B2" w:rsidRDefault="00A934B2" w:rsidP="004D59FD">
            <w:pPr>
              <w:jc w:val="center"/>
              <w:rPr>
                <w:color w:val="000000"/>
                <w:sz w:val="22"/>
                <w:szCs w:val="22"/>
              </w:rPr>
            </w:pPr>
            <w:r>
              <w:rPr>
                <w:color w:val="000000"/>
                <w:sz w:val="22"/>
                <w:szCs w:val="22"/>
              </w:rPr>
              <w:t>1 000</w:t>
            </w:r>
          </w:p>
        </w:tc>
      </w:tr>
      <w:tr w:rsidR="00A934B2" w:rsidTr="004D59FD">
        <w:trPr>
          <w:trHeight w:val="841"/>
          <w:jc w:val="center"/>
        </w:trPr>
        <w:tc>
          <w:tcPr>
            <w:tcW w:w="282" w:type="pct"/>
            <w:tcBorders>
              <w:top w:val="single" w:sz="4" w:space="0" w:color="auto"/>
              <w:left w:val="single" w:sz="4" w:space="0" w:color="auto"/>
              <w:bottom w:val="single" w:sz="4" w:space="0" w:color="auto"/>
              <w:right w:val="single" w:sz="4" w:space="0" w:color="auto"/>
            </w:tcBorders>
          </w:tcPr>
          <w:p w:rsidR="00A934B2" w:rsidRDefault="00A934B2" w:rsidP="004D59FD">
            <w:pPr>
              <w:autoSpaceDE w:val="0"/>
              <w:autoSpaceDN w:val="0"/>
              <w:adjustRightInd w:val="0"/>
              <w:spacing w:line="256" w:lineRule="auto"/>
              <w:jc w:val="center"/>
              <w:rPr>
                <w:lang w:eastAsia="en-US"/>
              </w:rPr>
            </w:pPr>
            <w:r>
              <w:rPr>
                <w:lang w:eastAsia="en-US"/>
              </w:rPr>
              <w:lastRenderedPageBreak/>
              <w:t>4.</w:t>
            </w:r>
          </w:p>
        </w:tc>
        <w:tc>
          <w:tcPr>
            <w:tcW w:w="777" w:type="pct"/>
            <w:tcBorders>
              <w:top w:val="single" w:sz="4" w:space="0" w:color="auto"/>
              <w:left w:val="single" w:sz="4" w:space="0" w:color="auto"/>
              <w:bottom w:val="single" w:sz="4" w:space="0" w:color="auto"/>
              <w:right w:val="single" w:sz="4" w:space="0" w:color="auto"/>
            </w:tcBorders>
          </w:tcPr>
          <w:p w:rsidR="00A934B2" w:rsidRDefault="00A934B2" w:rsidP="004D59FD">
            <w:pPr>
              <w:spacing w:line="256" w:lineRule="auto"/>
              <w:jc w:val="center"/>
              <w:rPr>
                <w:lang w:eastAsia="en-US"/>
              </w:rPr>
            </w:pPr>
            <w:r w:rsidRPr="00E632DF">
              <w:rPr>
                <w:lang w:eastAsia="en-US"/>
              </w:rPr>
              <w:t>Корсет полужесткой фиксации</w:t>
            </w:r>
          </w:p>
          <w:p w:rsidR="00A934B2" w:rsidRPr="00E632DF" w:rsidRDefault="00A934B2" w:rsidP="004D59FD">
            <w:pPr>
              <w:spacing w:line="256" w:lineRule="auto"/>
              <w:jc w:val="center"/>
              <w:rPr>
                <w:lang w:eastAsia="en-US"/>
              </w:rPr>
            </w:pPr>
          </w:p>
        </w:tc>
        <w:tc>
          <w:tcPr>
            <w:tcW w:w="843" w:type="pct"/>
            <w:tcBorders>
              <w:top w:val="single" w:sz="4" w:space="0" w:color="auto"/>
              <w:left w:val="single" w:sz="4" w:space="0" w:color="auto"/>
              <w:bottom w:val="single" w:sz="4" w:space="0" w:color="auto"/>
              <w:right w:val="single" w:sz="4" w:space="0" w:color="auto"/>
            </w:tcBorders>
          </w:tcPr>
          <w:p w:rsidR="00A934B2" w:rsidRDefault="00A934B2" w:rsidP="004D59FD">
            <w:proofErr w:type="spellStart"/>
            <w:r w:rsidRPr="002407EC">
              <w:rPr>
                <w:lang w:eastAsia="en-US"/>
              </w:rPr>
              <w:t>Ортез</w:t>
            </w:r>
            <w:proofErr w:type="spellEnd"/>
            <w:r w:rsidRPr="002407EC">
              <w:rPr>
                <w:lang w:eastAsia="en-US"/>
              </w:rPr>
              <w:t xml:space="preserve"> для грудного, поясничного и крестцового отделов позвоночника, гибкий</w:t>
            </w:r>
          </w:p>
        </w:tc>
        <w:tc>
          <w:tcPr>
            <w:tcW w:w="2183" w:type="pct"/>
            <w:tcBorders>
              <w:top w:val="single" w:sz="4" w:space="0" w:color="auto"/>
              <w:left w:val="single" w:sz="4" w:space="0" w:color="auto"/>
              <w:bottom w:val="single" w:sz="4" w:space="0" w:color="auto"/>
              <w:right w:val="single" w:sz="4" w:space="0" w:color="auto"/>
            </w:tcBorders>
          </w:tcPr>
          <w:p w:rsidR="00A934B2" w:rsidRDefault="00A934B2" w:rsidP="004D59FD">
            <w:pPr>
              <w:spacing w:line="256" w:lineRule="auto"/>
              <w:jc w:val="both"/>
            </w:pPr>
            <w:r>
              <w:t>Назначение – обеспечение фиксации с коррекцией в заданном положении и разгрузки области поражения.</w:t>
            </w:r>
          </w:p>
          <w:p w:rsidR="00A934B2" w:rsidRPr="004D013E" w:rsidRDefault="00A934B2" w:rsidP="004D59FD">
            <w:pPr>
              <w:spacing w:line="256" w:lineRule="auto"/>
              <w:jc w:val="both"/>
              <w:rPr>
                <w:b/>
              </w:rPr>
            </w:pPr>
            <w:r>
              <w:t xml:space="preserve">Применение в отношении </w:t>
            </w:r>
            <w:proofErr w:type="spellStart"/>
            <w:r w:rsidRPr="004D013E">
              <w:rPr>
                <w:b/>
              </w:rPr>
              <w:t>н</w:t>
            </w:r>
            <w:r>
              <w:rPr>
                <w:b/>
              </w:rPr>
              <w:t>ижнегрудного</w:t>
            </w:r>
            <w:proofErr w:type="spellEnd"/>
            <w:r w:rsidRPr="004D013E">
              <w:rPr>
                <w:b/>
              </w:rPr>
              <w:t xml:space="preserve"> отдел</w:t>
            </w:r>
            <w:r>
              <w:rPr>
                <w:b/>
              </w:rPr>
              <w:t>а</w:t>
            </w:r>
            <w:r w:rsidRPr="004D013E">
              <w:rPr>
                <w:b/>
              </w:rPr>
              <w:t xml:space="preserve"> позвоночника.</w:t>
            </w:r>
          </w:p>
          <w:p w:rsidR="00A934B2" w:rsidRDefault="00A934B2" w:rsidP="004D59FD">
            <w:pPr>
              <w:spacing w:line="256" w:lineRule="auto"/>
              <w:jc w:val="both"/>
            </w:pPr>
            <w:r>
              <w:t>Текстильная гильза</w:t>
            </w:r>
            <w:r w:rsidRPr="007D5E07">
              <w:t xml:space="preserve"> со шнуровкой</w:t>
            </w:r>
            <w:r>
              <w:t xml:space="preserve"> спереди, продольно армированная</w:t>
            </w:r>
            <w:r w:rsidRPr="007D5E07">
              <w:t xml:space="preserve"> сзади металлическими или пластмассовыми планшетками</w:t>
            </w:r>
          </w:p>
          <w:p w:rsidR="00A934B2" w:rsidRDefault="00A934B2" w:rsidP="004D59FD">
            <w:pPr>
              <w:spacing w:line="256" w:lineRule="auto"/>
              <w:jc w:val="both"/>
            </w:pPr>
            <w:r>
              <w:t>Н</w:t>
            </w:r>
            <w:r w:rsidRPr="00A92084">
              <w:t>а внутренней стороне гильзы должен быть смягчающий слой из вспененного материала (чехол)</w:t>
            </w:r>
            <w:r>
              <w:t xml:space="preserve">. </w:t>
            </w:r>
            <w:r w:rsidRPr="00A92084">
              <w:t>Смягчающий слой фиксируется на внутренней стороне гильзы приклеиванием или другим способом, обеспечивающим его надежное удержание на поверхности.</w:t>
            </w:r>
          </w:p>
          <w:p w:rsidR="00A934B2" w:rsidRDefault="00A934B2" w:rsidP="004D59FD">
            <w:pPr>
              <w:spacing w:line="256" w:lineRule="auto"/>
              <w:jc w:val="both"/>
            </w:pPr>
            <w:r>
              <w:t>Возможность подбора в соответствии с антропометрическими данными получателей</w:t>
            </w:r>
          </w:p>
        </w:tc>
        <w:tc>
          <w:tcPr>
            <w:tcW w:w="564" w:type="pct"/>
            <w:tcBorders>
              <w:top w:val="single" w:sz="4" w:space="0" w:color="auto"/>
              <w:left w:val="single" w:sz="4" w:space="0" w:color="auto"/>
              <w:bottom w:val="single" w:sz="4" w:space="0" w:color="auto"/>
              <w:right w:val="single" w:sz="4" w:space="0" w:color="auto"/>
            </w:tcBorders>
          </w:tcPr>
          <w:p w:rsidR="00A934B2" w:rsidRDefault="00A934B2" w:rsidP="004D59FD">
            <w:pPr>
              <w:spacing w:line="256" w:lineRule="auto"/>
              <w:jc w:val="center"/>
              <w:rPr>
                <w:lang w:eastAsia="en-US"/>
              </w:rPr>
            </w:pPr>
            <w:r>
              <w:rPr>
                <w:lang w:eastAsia="en-US"/>
              </w:rPr>
              <w:t>Наличие</w:t>
            </w:r>
          </w:p>
        </w:tc>
        <w:tc>
          <w:tcPr>
            <w:tcW w:w="351" w:type="pct"/>
            <w:tcBorders>
              <w:top w:val="single" w:sz="4" w:space="0" w:color="auto"/>
              <w:left w:val="single" w:sz="4" w:space="0" w:color="auto"/>
              <w:bottom w:val="single" w:sz="4" w:space="0" w:color="auto"/>
              <w:right w:val="single" w:sz="4" w:space="0" w:color="auto"/>
            </w:tcBorders>
          </w:tcPr>
          <w:p w:rsidR="00A934B2" w:rsidRDefault="00A934B2" w:rsidP="004D59FD">
            <w:pPr>
              <w:jc w:val="center"/>
              <w:rPr>
                <w:color w:val="000000"/>
                <w:sz w:val="22"/>
                <w:szCs w:val="22"/>
              </w:rPr>
            </w:pPr>
            <w:r>
              <w:rPr>
                <w:color w:val="000000"/>
                <w:sz w:val="22"/>
                <w:szCs w:val="22"/>
              </w:rPr>
              <w:t>512</w:t>
            </w:r>
          </w:p>
        </w:tc>
      </w:tr>
      <w:tr w:rsidR="00A934B2" w:rsidRPr="009D35F0" w:rsidTr="004D59FD">
        <w:trPr>
          <w:jc w:val="center"/>
        </w:trPr>
        <w:tc>
          <w:tcPr>
            <w:tcW w:w="4649" w:type="pct"/>
            <w:gridSpan w:val="5"/>
            <w:tcBorders>
              <w:top w:val="single" w:sz="4" w:space="0" w:color="auto"/>
              <w:left w:val="single" w:sz="4" w:space="0" w:color="auto"/>
              <w:bottom w:val="single" w:sz="4" w:space="0" w:color="auto"/>
              <w:right w:val="single" w:sz="4" w:space="0" w:color="auto"/>
            </w:tcBorders>
          </w:tcPr>
          <w:p w:rsidR="00A934B2" w:rsidRPr="009D35F0" w:rsidRDefault="00A934B2" w:rsidP="004D59FD">
            <w:pPr>
              <w:spacing w:line="256" w:lineRule="auto"/>
              <w:rPr>
                <w:b/>
                <w:lang w:eastAsia="en-US"/>
              </w:rPr>
            </w:pPr>
            <w:r w:rsidRPr="009D35F0">
              <w:rPr>
                <w:b/>
                <w:lang w:eastAsia="en-US"/>
              </w:rPr>
              <w:t>Итого</w:t>
            </w:r>
          </w:p>
        </w:tc>
        <w:tc>
          <w:tcPr>
            <w:tcW w:w="351" w:type="pct"/>
            <w:tcBorders>
              <w:top w:val="single" w:sz="4" w:space="0" w:color="auto"/>
              <w:left w:val="single" w:sz="4" w:space="0" w:color="auto"/>
              <w:bottom w:val="single" w:sz="4" w:space="0" w:color="auto"/>
              <w:right w:val="single" w:sz="4" w:space="0" w:color="auto"/>
            </w:tcBorders>
            <w:hideMark/>
          </w:tcPr>
          <w:p w:rsidR="00A934B2" w:rsidRPr="009D35F0" w:rsidRDefault="00A934B2" w:rsidP="004D59FD">
            <w:pPr>
              <w:spacing w:line="256" w:lineRule="auto"/>
              <w:jc w:val="center"/>
              <w:rPr>
                <w:b/>
                <w:lang w:eastAsia="en-US"/>
              </w:rPr>
            </w:pPr>
            <w:r>
              <w:rPr>
                <w:b/>
                <w:lang w:eastAsia="en-US"/>
              </w:rPr>
              <w:t>2 566</w:t>
            </w:r>
          </w:p>
        </w:tc>
      </w:tr>
    </w:tbl>
    <w:p w:rsidR="00A934B2" w:rsidRDefault="00A934B2" w:rsidP="00A934B2">
      <w:pPr>
        <w:jc w:val="both"/>
      </w:pPr>
    </w:p>
    <w:p w:rsidR="00A934B2" w:rsidRDefault="00A934B2" w:rsidP="00A934B2">
      <w:pPr>
        <w:ind w:firstLine="567"/>
        <w:jc w:val="both"/>
        <w:rPr>
          <w:b/>
        </w:rPr>
      </w:pPr>
      <w:r>
        <w:rPr>
          <w:b/>
        </w:rPr>
        <w:t>Обоснование включения дополнительной информации в сведения о товаре, работе, услуге:</w:t>
      </w:r>
    </w:p>
    <w:p w:rsidR="00A934B2" w:rsidRDefault="00A934B2" w:rsidP="00A934B2">
      <w:pPr>
        <w:ind w:firstLine="567"/>
        <w:jc w:val="both"/>
      </w:pPr>
      <w:r>
        <w:t>- Методические рекомендации по установлению медицинских показаний и противопоказаний при назначении специалистами МСЭ ТСР получателя и методика их рационального подбора (Издание третье, переработанное и дополненное, 2018 г.)</w:t>
      </w:r>
    </w:p>
    <w:p w:rsidR="00A934B2" w:rsidRDefault="00A934B2" w:rsidP="00A934B2">
      <w:pPr>
        <w:ind w:firstLine="567"/>
        <w:jc w:val="both"/>
      </w:pPr>
      <w:r>
        <w:t xml:space="preserve">- </w:t>
      </w:r>
      <w:r w:rsidRPr="0014516D">
        <w:t xml:space="preserve">"ГОСТ Р 57892-2017. Национальный стандарт Российской Федерации. Корсеты ортопедические, </w:t>
      </w:r>
      <w:proofErr w:type="spellStart"/>
      <w:r w:rsidRPr="0014516D">
        <w:t>головодержатели</w:t>
      </w:r>
      <w:proofErr w:type="spellEnd"/>
      <w:r w:rsidRPr="0014516D">
        <w:t>. Технические требования и методы испытаний"</w:t>
      </w:r>
      <w:r>
        <w:t>;</w:t>
      </w:r>
    </w:p>
    <w:p w:rsidR="00A934B2" w:rsidRDefault="00A934B2" w:rsidP="00A934B2">
      <w:pPr>
        <w:ind w:firstLine="567"/>
        <w:jc w:val="both"/>
      </w:pPr>
      <w: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Российской Федерации от 07.02.1992 № 2300-1 «О защите прав потребителей»).</w:t>
      </w:r>
    </w:p>
    <w:p w:rsidR="00A934B2" w:rsidRDefault="00A934B2" w:rsidP="00A934B2">
      <w:pPr>
        <w:tabs>
          <w:tab w:val="left" w:pos="9724"/>
        </w:tabs>
        <w:ind w:firstLine="567"/>
        <w:jc w:val="both"/>
      </w:pPr>
      <w:r>
        <w:t xml:space="preserve">3.2. Товар должен соответствовать требованиям государственных стандартов (ГОСТ), действующих на территории Российской Федерации: </w:t>
      </w:r>
    </w:p>
    <w:p w:rsidR="00A934B2" w:rsidRPr="0014516D" w:rsidRDefault="00A934B2" w:rsidP="00A934B2">
      <w:pPr>
        <w:ind w:firstLine="567"/>
        <w:jc w:val="both"/>
        <w:rPr>
          <w:rFonts w:cs="Tahoma"/>
          <w:color w:val="000000"/>
          <w:kern w:val="3"/>
        </w:rPr>
      </w:pPr>
      <w:r w:rsidRPr="004D013E">
        <w:rPr>
          <w:rFonts w:cs="Tahoma"/>
          <w:color w:val="000000"/>
          <w:kern w:val="3"/>
        </w:rPr>
        <w:t xml:space="preserve">- </w:t>
      </w:r>
      <w:r w:rsidRPr="0014516D">
        <w:rPr>
          <w:rFonts w:cs="Tahoma"/>
          <w:color w:val="000000"/>
          <w:kern w:val="3"/>
        </w:rPr>
        <w:t xml:space="preserve">"ГОСТ Р 57892-2017. Национальный стандарт Российской Федерации. Корсеты ортопедические, </w:t>
      </w:r>
      <w:proofErr w:type="spellStart"/>
      <w:r w:rsidRPr="0014516D">
        <w:rPr>
          <w:rFonts w:cs="Tahoma"/>
          <w:color w:val="000000"/>
          <w:kern w:val="3"/>
        </w:rPr>
        <w:t>головодержатели</w:t>
      </w:r>
      <w:proofErr w:type="spellEnd"/>
      <w:r w:rsidRPr="0014516D">
        <w:rPr>
          <w:rFonts w:cs="Tahoma"/>
          <w:color w:val="000000"/>
          <w:kern w:val="3"/>
        </w:rPr>
        <w:t>. Технические требования и методы испытаний";</w:t>
      </w:r>
    </w:p>
    <w:p w:rsidR="00A934B2" w:rsidRDefault="00A934B2" w:rsidP="00A934B2">
      <w:pPr>
        <w:ind w:firstLine="567"/>
        <w:jc w:val="both"/>
        <w:rPr>
          <w:rFonts w:cs="Tahoma"/>
          <w:color w:val="000000"/>
          <w:kern w:val="3"/>
        </w:rPr>
      </w:pPr>
      <w:r w:rsidRPr="0014516D">
        <w:rPr>
          <w:rFonts w:cs="Tahoma"/>
          <w:color w:val="000000"/>
          <w:kern w:val="3"/>
        </w:rPr>
        <w:t>- "ГОСТ Р 58236-2020. Национальный стандарт Российской Федерации. Изделия медицинские эластичные компрессионные. Общие технические требования. Методы испытаний"</w:t>
      </w:r>
      <w:r>
        <w:rPr>
          <w:rFonts w:cs="Tahoma"/>
          <w:color w:val="000000"/>
          <w:kern w:val="3"/>
        </w:rPr>
        <w:t>.</w:t>
      </w:r>
    </w:p>
    <w:p w:rsidR="00A934B2" w:rsidRDefault="00A934B2" w:rsidP="00A934B2">
      <w:pPr>
        <w:ind w:firstLine="567"/>
        <w:jc w:val="both"/>
      </w:pPr>
      <w:r>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w:t>
      </w:r>
      <w:bookmarkStart w:id="0" w:name="_GoBack"/>
      <w:bookmarkEnd w:id="0"/>
      <w:r>
        <w:t>сстановлены потребительские свойства. Товар должен быть свободными от прав третьих лиц.</w:t>
      </w:r>
    </w:p>
    <w:p w:rsidR="00A934B2" w:rsidRDefault="00A934B2" w:rsidP="00A934B2">
      <w:pPr>
        <w:ind w:firstLine="567"/>
        <w:jc w:val="both"/>
        <w:rPr>
          <w:bCs/>
        </w:rPr>
      </w:pPr>
      <w:r>
        <w:t xml:space="preserve">3.4. </w:t>
      </w:r>
      <w:r>
        <w:rPr>
          <w:bCs/>
        </w:rPr>
        <w:t>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(п.4.11.5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rsidR="00A934B2" w:rsidRPr="00104691" w:rsidRDefault="00A934B2" w:rsidP="00A934B2">
      <w:pPr>
        <w:ind w:firstLine="567"/>
        <w:jc w:val="both"/>
      </w:pPr>
      <w:r w:rsidRPr="00104691">
        <w:t xml:space="preserve">3.5. Гарантийный срок Товара составляет 6 месяцев с даты подписания Поставщиком и Получателем Акта сдачи-приемки Товара. </w:t>
      </w:r>
    </w:p>
    <w:p w:rsidR="00A934B2" w:rsidRDefault="00A934B2" w:rsidP="00A934B2">
      <w:pPr>
        <w:ind w:firstLine="567"/>
        <w:jc w:val="both"/>
      </w:pPr>
      <w:r w:rsidRPr="00104691">
        <w:lastRenderedPageBreak/>
        <w:t>Установленный настоящим пунктом Технического задания, срок не распространяется на случаи нарушения Получателем условий и требований к эксплуатации Товара (Закон РФ от 07.02.1992 № 2300-1 «О защите прав потребителей»).</w:t>
      </w:r>
    </w:p>
    <w:p w:rsidR="00104691" w:rsidRPr="00F413E5" w:rsidRDefault="00104691" w:rsidP="00104691">
      <w:pPr>
        <w:ind w:firstLine="567"/>
        <w:jc w:val="both"/>
        <w:rPr>
          <w:color w:val="FF0000"/>
        </w:rPr>
      </w:pPr>
      <w:r w:rsidRPr="00F413E5">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104691" w:rsidRPr="00F413E5" w:rsidRDefault="00104691" w:rsidP="00104691">
      <w:pPr>
        <w:ind w:firstLine="567"/>
        <w:jc w:val="both"/>
        <w:rPr>
          <w:color w:val="000000"/>
        </w:rPr>
      </w:pPr>
      <w:r w:rsidRPr="00F413E5">
        <w:rPr>
          <w:color w:val="000000"/>
        </w:rPr>
        <w:t>Срок выполнения гарантийного ремонта Товара не должен превышать 20 рабочих дней со дня обращения Получателя (Заказчика).</w:t>
      </w:r>
    </w:p>
    <w:p w:rsidR="00104691" w:rsidRPr="00F413E5" w:rsidRDefault="00104691" w:rsidP="00104691">
      <w:pPr>
        <w:ind w:firstLine="567"/>
        <w:jc w:val="both"/>
        <w:rPr>
          <w:color w:val="000000"/>
        </w:rPr>
      </w:pPr>
      <w:r w:rsidRPr="00F413E5">
        <w:rPr>
          <w:color w:val="000000"/>
        </w:rPr>
        <w:t>Срок осуществления замены Товара не должен превышать 15 рабочих дней со дня обращения Получателя (Заказчика).</w:t>
      </w:r>
    </w:p>
    <w:p w:rsidR="00104691" w:rsidRPr="00F413E5" w:rsidRDefault="00104691" w:rsidP="00104691">
      <w:pPr>
        <w:ind w:firstLine="567"/>
        <w:jc w:val="both"/>
      </w:pPr>
      <w:r w:rsidRPr="00F413E5">
        <w:rPr>
          <w:color w:val="000000"/>
        </w:rPr>
        <w:t xml:space="preserve">В связи с тем, что передача Товара осуществляется непосредственно Получателю, Поставщик должен вместе с Товаром передать Получателю гарантийный талон или </w:t>
      </w:r>
      <w:r w:rsidRPr="00F413E5">
        <w:t>иной документ, содержащий сведения, необходимые для обращения к Поставщику по вопросам гарантийного ремонта (замены) Товара, а также содержащий адрес (адреса) и режим работы пункта (пунктов) приема Получателей.</w:t>
      </w:r>
    </w:p>
    <w:p w:rsidR="00104691" w:rsidRPr="00EF669F" w:rsidRDefault="00104691" w:rsidP="00104691">
      <w:pPr>
        <w:autoSpaceDE w:val="0"/>
        <w:ind w:firstLine="567"/>
        <w:jc w:val="both"/>
      </w:pPr>
      <w:r w:rsidRPr="00F413E5">
        <w:t>Прием Получателей по вопросам, касающимся выдачи и гарантийного ремонта Товара, осуществляется Поставщиком по месту нахождения организованных Поставщиком пунктов гарантийного обслуживания.</w:t>
      </w:r>
    </w:p>
    <w:p w:rsidR="00104691" w:rsidRDefault="00104691" w:rsidP="00A934B2">
      <w:pPr>
        <w:ind w:firstLine="567"/>
        <w:jc w:val="both"/>
      </w:pPr>
    </w:p>
    <w:p w:rsidR="00A934B2" w:rsidRDefault="00A934B2" w:rsidP="00A934B2">
      <w:pPr>
        <w:ind w:firstLine="567"/>
        <w:jc w:val="both"/>
        <w:rPr>
          <w:b/>
        </w:rPr>
      </w:pPr>
      <w:r>
        <w:rPr>
          <w:b/>
        </w:rPr>
        <w:t>4. Поставщик обязан:</w:t>
      </w:r>
    </w:p>
    <w:p w:rsidR="00A934B2" w:rsidRDefault="00A934B2" w:rsidP="00A934B2">
      <w:pPr>
        <w:ind w:firstLine="567"/>
        <w:jc w:val="both"/>
      </w:pPr>
      <w:r>
        <w:t>4.1. Поставлять Товар для Получателей, имеющий действующие регистрационные удостоверения, выданные Федеральной службой по надзору в сфере здравоохранения (в случае, если Товар подлежит регистрации), и (или) декларации о соответствии или сертификат соответствия поставляемого Товара либо иные документы, свидетельствующие о качестве и безопасности Товара, предусмотренные действующим законодательством Российской Федерации.</w:t>
      </w:r>
    </w:p>
    <w:p w:rsidR="00A934B2" w:rsidRDefault="00A934B2" w:rsidP="00A934B2">
      <w:pPr>
        <w:ind w:firstLine="567"/>
        <w:jc w:val="both"/>
      </w:pPr>
      <w:r>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A934B2" w:rsidRDefault="00A934B2" w:rsidP="00A934B2">
      <w:pPr>
        <w:ind w:firstLine="567"/>
        <w:jc w:val="both"/>
      </w:pPr>
      <w:r>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A934B2" w:rsidRDefault="00A934B2" w:rsidP="00A934B2">
      <w:pPr>
        <w:ind w:firstLine="567"/>
        <w:jc w:val="both"/>
      </w:pPr>
      <w: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A934B2" w:rsidRDefault="00A934B2" w:rsidP="00A934B2">
      <w:pPr>
        <w:ind w:firstLine="567"/>
        <w:jc w:val="both"/>
      </w:pPr>
      <w:r>
        <w:t xml:space="preserve">4.3. При работе с Получателями обеспечить соблюдение рекомендаций и санитарно-эпидемиологических требований </w:t>
      </w:r>
      <w:proofErr w:type="spellStart"/>
      <w:r>
        <w:t>Роспотребнадзора</w:t>
      </w:r>
      <w:proofErr w:type="spellEnd"/>
      <w: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t>коронавирусной</w:t>
      </w:r>
      <w:proofErr w:type="spellEnd"/>
      <w:r>
        <w:t xml:space="preserve"> инфекции (COVID-19).</w:t>
      </w:r>
    </w:p>
    <w:p w:rsidR="00A934B2" w:rsidRDefault="00A934B2" w:rsidP="00A934B2">
      <w:pPr>
        <w:ind w:firstLine="567"/>
        <w:jc w:val="both"/>
      </w:pPr>
      <w:r>
        <w:lastRenderedPageBreak/>
        <w:t xml:space="preserve">4.4. Обеспечить возможность бесперебойной выдачи Товара в пункте приема Получателей со дня, следующего за днем поступления Товара в субъект в соответствии с календарным планом, но не ранее 09.01.2025. </w:t>
      </w:r>
    </w:p>
    <w:p w:rsidR="00A934B2" w:rsidRDefault="00A934B2" w:rsidP="00A934B2">
      <w:pPr>
        <w:ind w:firstLine="567"/>
        <w:jc w:val="both"/>
      </w:pPr>
      <w:r>
        <w:t>4.5.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(одного) рабочего дня с даты заключения государственного контракта.</w:t>
      </w:r>
    </w:p>
    <w:p w:rsidR="00A934B2" w:rsidRDefault="00A934B2" w:rsidP="00A934B2">
      <w:pPr>
        <w:ind w:firstLine="567"/>
        <w:jc w:val="both"/>
      </w:pPr>
      <w:r>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Поставщиком. </w:t>
      </w:r>
    </w:p>
    <w:p w:rsidR="00A934B2" w:rsidRDefault="00A934B2" w:rsidP="00A934B2">
      <w:pPr>
        <w:ind w:firstLine="567"/>
        <w:jc w:val="both"/>
      </w:pPr>
      <w:r>
        <w:t>4.6.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гражданами способа, места и времени доставки Товара.</w:t>
      </w:r>
    </w:p>
    <w:p w:rsidR="00A934B2" w:rsidRDefault="00A934B2" w:rsidP="00A934B2">
      <w:pPr>
        <w:ind w:firstLine="567"/>
        <w:jc w:val="both"/>
      </w:pPr>
      <w: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A934B2" w:rsidRDefault="00A934B2" w:rsidP="00A934B2">
      <w:pPr>
        <w:ind w:firstLine="567"/>
        <w:jc w:val="both"/>
      </w:pPr>
      <w:r>
        <w:t>4.7. Еженедельно (в последний рабочий день недели) с 09.01.2025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osp@ro78.fss.ru.</w:t>
      </w:r>
    </w:p>
    <w:p w:rsidR="00A934B2" w:rsidRDefault="00A934B2" w:rsidP="00A934B2">
      <w:pPr>
        <w:ind w:firstLine="567"/>
        <w:jc w:val="both"/>
      </w:pPr>
      <w:r>
        <w:t xml:space="preserve">4.8.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A934B2" w:rsidRDefault="00A934B2" w:rsidP="00A934B2">
      <w:pPr>
        <w:ind w:firstLine="567"/>
        <w:jc w:val="both"/>
      </w:pPr>
      <w:r>
        <w:t>наименование, фирменное наименование (при наличии), место нахождения, почтовый адрес (для юридического лица);</w:t>
      </w:r>
    </w:p>
    <w:p w:rsidR="00A934B2" w:rsidRDefault="00A934B2" w:rsidP="00A934B2">
      <w:pPr>
        <w:ind w:firstLine="567"/>
        <w:jc w:val="both"/>
      </w:pPr>
      <w:r>
        <w:t>фамилия, имя, отчество (при наличии), паспортные данные, место жительства (для физического лица);</w:t>
      </w:r>
    </w:p>
    <w:p w:rsidR="00A934B2" w:rsidRDefault="00A934B2" w:rsidP="00A934B2">
      <w:pPr>
        <w:ind w:firstLine="567"/>
        <w:jc w:val="both"/>
      </w:pPr>
      <w:r>
        <w:t>номер контактного телефона;</w:t>
      </w:r>
    </w:p>
    <w:p w:rsidR="00A934B2" w:rsidRDefault="00A934B2" w:rsidP="00A934B2">
      <w:pPr>
        <w:ind w:firstLine="567"/>
        <w:jc w:val="both"/>
      </w:pPr>
      <w:r>
        <w:t>адрес электронной почты;</w:t>
      </w:r>
    </w:p>
    <w:p w:rsidR="00A934B2" w:rsidRDefault="00A934B2" w:rsidP="00A934B2">
      <w:pPr>
        <w:ind w:firstLine="567"/>
        <w:jc w:val="both"/>
      </w:pPr>
      <w: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934B2" w:rsidRDefault="00A934B2" w:rsidP="00A934B2">
      <w:pPr>
        <w:ind w:firstLine="567"/>
        <w:jc w:val="both"/>
      </w:pPr>
      <w:r>
        <w:t>перечень операций, выполняемых соисполнителем в рамках контракта;</w:t>
      </w:r>
    </w:p>
    <w:p w:rsidR="00A934B2" w:rsidRDefault="00A934B2" w:rsidP="00A934B2">
      <w:pPr>
        <w:ind w:firstLine="567"/>
        <w:jc w:val="both"/>
      </w:pPr>
      <w:r>
        <w:t xml:space="preserve">срок </w:t>
      </w:r>
      <w:proofErr w:type="spellStart"/>
      <w:r>
        <w:t>соисполнительства</w:t>
      </w:r>
      <w:proofErr w:type="spellEnd"/>
      <w:r>
        <w:t>.</w:t>
      </w:r>
    </w:p>
    <w:p w:rsidR="00A934B2" w:rsidRDefault="00A934B2" w:rsidP="00A934B2">
      <w:pPr>
        <w:ind w:firstLine="567"/>
        <w:jc w:val="both"/>
      </w:pPr>
      <w:r>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A934B2" w:rsidRDefault="00A934B2" w:rsidP="00A934B2">
      <w:pPr>
        <w:ind w:firstLine="567"/>
        <w:jc w:val="both"/>
      </w:pPr>
      <w:r>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rsidR="00A934B2" w:rsidRDefault="00A934B2" w:rsidP="00A934B2">
      <w:pPr>
        <w:ind w:firstLine="567"/>
        <w:jc w:val="both"/>
      </w:pPr>
      <w: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osp@ro78.fss.ru. </w:t>
      </w:r>
    </w:p>
    <w:p w:rsidR="00A934B2" w:rsidRPr="00573DF5" w:rsidRDefault="00A934B2" w:rsidP="00A934B2">
      <w:pPr>
        <w:ind w:firstLine="567"/>
        <w:jc w:val="both"/>
      </w:pPr>
      <w:r w:rsidRPr="00573DF5">
        <w:lastRenderedPageBreak/>
        <w:t>5. Способ поставки:</w:t>
      </w:r>
    </w:p>
    <w:p w:rsidR="00A934B2" w:rsidRPr="00573DF5" w:rsidRDefault="00A934B2" w:rsidP="00A934B2">
      <w:pPr>
        <w:ind w:firstLine="567"/>
        <w:jc w:val="both"/>
      </w:pPr>
      <w:r w:rsidRPr="00573DF5">
        <w:t>5.1. Поставщик передает Получателям Товар следующими способами:</w:t>
      </w:r>
    </w:p>
    <w:p w:rsidR="00A934B2" w:rsidRPr="00573DF5" w:rsidRDefault="00A934B2" w:rsidP="00A934B2">
      <w:pPr>
        <w:ind w:firstLine="567"/>
        <w:jc w:val="both"/>
      </w:pPr>
      <w:r w:rsidRPr="00573DF5">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A934B2" w:rsidRPr="00573DF5" w:rsidRDefault="00A934B2" w:rsidP="00A934B2">
      <w:pPr>
        <w:ind w:firstLine="567"/>
        <w:jc w:val="both"/>
      </w:pPr>
      <w:r w:rsidRPr="00573DF5">
        <w:t xml:space="preserve">- в пункте (пунктах) приема </w:t>
      </w:r>
      <w:r w:rsidRPr="00573DF5">
        <w:rPr>
          <w:rFonts w:ascii="Times New Roman CYR" w:hAnsi="Times New Roman CYR" w:cs="Times New Roman CYR"/>
        </w:rPr>
        <w:t>Получателей</w:t>
      </w:r>
      <w:r w:rsidRPr="00573DF5">
        <w:t>, организованных Поставщиком.</w:t>
      </w:r>
    </w:p>
    <w:p w:rsidR="00A934B2" w:rsidRPr="00573DF5" w:rsidRDefault="00A934B2" w:rsidP="00A934B2">
      <w:pPr>
        <w:ind w:firstLine="567"/>
        <w:jc w:val="both"/>
      </w:pPr>
      <w:r w:rsidRPr="00573DF5">
        <w:t>Поставщик обязан предоставлять Получателям право выбора способа получения Товара.</w:t>
      </w:r>
    </w:p>
    <w:p w:rsidR="00A934B2" w:rsidRPr="00573DF5" w:rsidRDefault="00A934B2" w:rsidP="00A934B2">
      <w:pPr>
        <w:ind w:right="-23" w:firstLine="567"/>
        <w:jc w:val="both"/>
      </w:pPr>
      <w:r w:rsidRPr="00573DF5">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A934B2" w:rsidRPr="003F0DC1" w:rsidRDefault="00A934B2" w:rsidP="00A934B2">
      <w:pPr>
        <w:ind w:firstLine="567"/>
        <w:jc w:val="both"/>
      </w:pPr>
      <w:r>
        <w:t xml:space="preserve">5.2. </w:t>
      </w:r>
      <w:r w:rsidRPr="003F0DC1">
        <w:t>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w:t>
      </w:r>
      <w:r>
        <w:t>к должен организовать не менее 2</w:t>
      </w:r>
      <w:r w:rsidRPr="003F0DC1">
        <w:t xml:space="preserve"> (</w:t>
      </w:r>
      <w:r>
        <w:t>двух</w:t>
      </w:r>
      <w:r w:rsidRPr="003F0DC1">
        <w:t>) пункт</w:t>
      </w:r>
      <w:r>
        <w:t>ов</w:t>
      </w:r>
      <w:r w:rsidRPr="003F0DC1">
        <w:t xml:space="preserve"> приема Получателей в срок не позднее 1 (одного)</w:t>
      </w:r>
      <w:r>
        <w:t xml:space="preserve"> рабочего</w:t>
      </w:r>
      <w:r w:rsidRPr="003F0DC1">
        <w:t xml:space="preserve"> дня с даты заключения государственного контракта в г. Санкт-Петербург, которые должны действовать до конца выдачи Товара, согласно условиям Технического задания. Поставщик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A934B2" w:rsidRPr="003F0DC1" w:rsidRDefault="00A934B2" w:rsidP="00A934B2">
      <w:pPr>
        <w:ind w:firstLine="567"/>
        <w:jc w:val="both"/>
      </w:pPr>
      <w:r w:rsidRPr="003F0DC1">
        <w:t>Пункт (пункты)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A934B2" w:rsidRPr="003F0DC1" w:rsidRDefault="00A934B2" w:rsidP="00A934B2">
      <w:pPr>
        <w:ind w:firstLine="567"/>
        <w:jc w:val="both"/>
      </w:pPr>
      <w:r w:rsidRPr="003F0DC1">
        <w:t xml:space="preserve">В соответствии с частью 2 статьи 12 Федерального закона от 30.12.2009 №384-ФЗ «Технический регламент о безопасности зданий и сооружений» </w:t>
      </w:r>
    </w:p>
    <w:p w:rsidR="00A934B2" w:rsidRPr="003F0DC1" w:rsidRDefault="00A934B2" w:rsidP="00A934B2">
      <w:pPr>
        <w:ind w:firstLine="567"/>
        <w:jc w:val="both"/>
      </w:pPr>
      <w:r w:rsidRPr="003F0DC1">
        <w:t>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A934B2" w:rsidRPr="003F0DC1" w:rsidRDefault="00A934B2" w:rsidP="00A934B2">
      <w:pPr>
        <w:ind w:firstLine="567"/>
        <w:jc w:val="both"/>
      </w:pPr>
      <w:r w:rsidRPr="003F0DC1">
        <w:t>В городе Санкт-Петербург таким объектом транспортной инфраструктуры, отвечающим установленным требованиям, является метрополитен.</w:t>
      </w:r>
    </w:p>
    <w:p w:rsidR="00A934B2" w:rsidRPr="003F0DC1" w:rsidRDefault="00A934B2" w:rsidP="00A934B2">
      <w:pPr>
        <w:ind w:firstLine="567"/>
        <w:jc w:val="both"/>
      </w:pPr>
      <w:r w:rsidRPr="003F0DC1">
        <w:t>Пункты приема Получателей, организованные на территории Ленинградской области должны находиться на территории административных центров муниципальных районов, административного центра городского округа,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A934B2" w:rsidRPr="003F0DC1" w:rsidRDefault="00A934B2" w:rsidP="00A934B2">
      <w:pPr>
        <w:ind w:firstLine="567"/>
        <w:jc w:val="both"/>
      </w:pPr>
      <w:r w:rsidRPr="003F0DC1">
        <w:t>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w:t>
      </w:r>
      <w:r>
        <w:t xml:space="preserve"> (и Ленинградской области)</w:t>
      </w:r>
      <w:r w:rsidRPr="003F0DC1">
        <w:t xml:space="preserve">. </w:t>
      </w:r>
    </w:p>
    <w:p w:rsidR="00A934B2" w:rsidRPr="003F0DC1" w:rsidRDefault="00A934B2" w:rsidP="00A934B2">
      <w:pPr>
        <w:ind w:firstLine="567"/>
        <w:jc w:val="both"/>
      </w:pPr>
      <w:r w:rsidRPr="003F0DC1">
        <w:t>Не позднее 1 (одного)</w:t>
      </w:r>
      <w:r>
        <w:t xml:space="preserve"> рабочего</w:t>
      </w:r>
      <w:r w:rsidRPr="003F0DC1">
        <w:t xml:space="preserve"> дня с даты заключения государственного контракта Поставщик должен предоставить Заказчику информацию об адресе пункта (пунктов) </w:t>
      </w:r>
      <w:r w:rsidRPr="003F0DC1">
        <w:lastRenderedPageBreak/>
        <w:t>приема Получателей, графике работы пункта (пунктов) приема Получателей, контактном телефоне.</w:t>
      </w:r>
    </w:p>
    <w:p w:rsidR="00A934B2" w:rsidRPr="00573DF5" w:rsidRDefault="00A934B2" w:rsidP="00A934B2">
      <w:pPr>
        <w:ind w:right="-23" w:firstLine="567"/>
        <w:jc w:val="both"/>
        <w:rPr>
          <w:color w:val="000000"/>
        </w:rPr>
      </w:pPr>
      <w:r w:rsidRPr="003F0DC1">
        <w:t>Не позднее 1 (одного)</w:t>
      </w:r>
      <w:r>
        <w:t xml:space="preserve"> рабочего </w:t>
      </w:r>
      <w:r w:rsidRPr="003F0DC1">
        <w:t>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r w:rsidRPr="00573DF5">
        <w:rPr>
          <w:color w:val="000000"/>
        </w:rPr>
        <w:t xml:space="preserve">5.3. Поставщик обязан предоставить доступное для людей с инвалидностью помещение под размещение пункта (пунктов) приема </w:t>
      </w:r>
      <w:r w:rsidRPr="00573DF5">
        <w:rPr>
          <w:rFonts w:ascii="Times New Roman CYR" w:hAnsi="Times New Roman CYR" w:cs="Times New Roman CYR"/>
        </w:rPr>
        <w:t>Получателей</w:t>
      </w:r>
      <w:r w:rsidRPr="00573DF5">
        <w:rPr>
          <w:color w:val="000000"/>
        </w:rPr>
        <w:t xml:space="preserve"> в соответствии со статьей</w:t>
      </w:r>
      <w:r>
        <w:rPr>
          <w:color w:val="000000"/>
        </w:rPr>
        <w:t xml:space="preserve"> </w:t>
      </w:r>
      <w:r w:rsidRPr="00573DF5">
        <w:rPr>
          <w:color w:val="000000"/>
        </w:rPr>
        <w:t>15 Федерального закона от 24.11.1995 № 181 «О социальной защите инвалидов в Российской Федерации.</w:t>
      </w:r>
    </w:p>
    <w:p w:rsidR="00A934B2" w:rsidRPr="00573DF5" w:rsidRDefault="00A934B2" w:rsidP="00A934B2">
      <w:pPr>
        <w:suppressAutoHyphens/>
        <w:ind w:firstLine="567"/>
        <w:jc w:val="both"/>
      </w:pPr>
      <w:r w:rsidRPr="00573DF5">
        <w:t>Вход в каждый пункт (пункты) приема</w:t>
      </w:r>
      <w:r w:rsidRPr="00573DF5">
        <w:rPr>
          <w:rFonts w:ascii="Times New Roman CYR" w:hAnsi="Times New Roman CYR" w:cs="Times New Roman CYR"/>
        </w:rPr>
        <w:t xml:space="preserve"> Получателей</w:t>
      </w:r>
      <w:r w:rsidRPr="00573DF5">
        <w:t xml:space="preserve">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w:t>
      </w:r>
      <w:r w:rsidRPr="00573DF5">
        <w:rPr>
          <w:rFonts w:ascii="Times New Roman CYR" w:hAnsi="Times New Roman CYR" w:cs="Times New Roman CYR"/>
        </w:rPr>
        <w:t xml:space="preserve"> Получателей</w:t>
      </w:r>
      <w:r w:rsidRPr="00573DF5">
        <w:t xml:space="preserve"> и передвижение по ним должны быть беспрепятственны для инвалидов (в случае необходимости, пункты приема</w:t>
      </w:r>
      <w:r w:rsidRPr="00573DF5">
        <w:rPr>
          <w:rFonts w:ascii="Times New Roman CYR" w:hAnsi="Times New Roman CYR" w:cs="Times New Roman CYR"/>
        </w:rPr>
        <w:t xml:space="preserve"> Получателей</w:t>
      </w:r>
      <w:r w:rsidRPr="00573DF5">
        <w:t xml:space="preserve">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w:t>
      </w:r>
      <w:r w:rsidRPr="00573DF5">
        <w:rPr>
          <w:lang w:eastAsia="ar-SA"/>
        </w:rPr>
        <w:t>пунктов) приема</w:t>
      </w:r>
      <w:r w:rsidRPr="00573DF5">
        <w:rPr>
          <w:rFonts w:ascii="Times New Roman CYR" w:hAnsi="Times New Roman CYR" w:cs="Times New Roman CYR"/>
        </w:rPr>
        <w:t xml:space="preserve"> Получателей</w:t>
      </w:r>
      <w:r w:rsidRPr="00573DF5">
        <w:t>, в том числе с помощью его работников, а также сменного кресла-коляски.</w:t>
      </w:r>
    </w:p>
    <w:p w:rsidR="00A934B2" w:rsidRPr="00573DF5" w:rsidRDefault="00A934B2" w:rsidP="00A934B2">
      <w:pPr>
        <w:suppressAutoHyphens/>
        <w:ind w:firstLine="567"/>
        <w:jc w:val="both"/>
      </w:pPr>
      <w:r w:rsidRPr="00573DF5">
        <w:rPr>
          <w:b/>
        </w:rPr>
        <w:t>Входная группа</w:t>
      </w:r>
      <w:r w:rsidRPr="00573DF5">
        <w:t xml:space="preserve"> </w:t>
      </w:r>
    </w:p>
    <w:p w:rsidR="00A934B2" w:rsidRPr="00573DF5" w:rsidRDefault="00A934B2" w:rsidP="00A934B2">
      <w:pPr>
        <w:suppressAutoHyphens/>
        <w:ind w:firstLine="567"/>
        <w:jc w:val="both"/>
      </w:pPr>
      <w:r w:rsidRPr="00573DF5">
        <w:t>При перепадах высот Поставщик должен учитывать наличие следующих элементов:</w:t>
      </w:r>
    </w:p>
    <w:p w:rsidR="00A934B2" w:rsidRPr="00573DF5" w:rsidRDefault="00A934B2" w:rsidP="00A934B2">
      <w:pPr>
        <w:suppressAutoHyphens/>
        <w:ind w:firstLine="567"/>
        <w:jc w:val="both"/>
      </w:pPr>
      <w:r w:rsidRPr="00573DF5">
        <w:t>- Пандус с поручнями;</w:t>
      </w:r>
    </w:p>
    <w:p w:rsidR="00A934B2" w:rsidRPr="00573DF5" w:rsidRDefault="00A934B2" w:rsidP="00A934B2">
      <w:pPr>
        <w:suppressAutoHyphens/>
        <w:ind w:firstLine="567"/>
        <w:jc w:val="both"/>
      </w:pPr>
      <w:r w:rsidRPr="00573DF5">
        <w:t>(в соответствии с п. 5.1.14 – п. 5.1.16; п. 6.1.2 – п. 6.1.4; п. 6.2.9 – п. 6.2.11 СП 59.13330.2020);</w:t>
      </w:r>
    </w:p>
    <w:p w:rsidR="00A934B2" w:rsidRPr="00573DF5" w:rsidRDefault="00A934B2" w:rsidP="00A934B2">
      <w:pPr>
        <w:suppressAutoHyphens/>
        <w:ind w:firstLine="567"/>
        <w:jc w:val="both"/>
      </w:pPr>
      <w:r w:rsidRPr="00573DF5">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A934B2" w:rsidRPr="00573DF5" w:rsidRDefault="00A934B2" w:rsidP="00A934B2">
      <w:pPr>
        <w:suppressAutoHyphens/>
        <w:ind w:firstLine="567"/>
        <w:jc w:val="both"/>
      </w:pPr>
      <w:r w:rsidRPr="00573DF5">
        <w:t>- Лестница с поручнями;</w:t>
      </w:r>
    </w:p>
    <w:p w:rsidR="00A934B2" w:rsidRPr="00573DF5" w:rsidRDefault="00A934B2" w:rsidP="00A934B2">
      <w:pPr>
        <w:autoSpaceDE w:val="0"/>
        <w:autoSpaceDN w:val="0"/>
        <w:adjustRightInd w:val="0"/>
        <w:ind w:firstLine="567"/>
        <w:jc w:val="both"/>
      </w:pPr>
      <w:r w:rsidRPr="00573DF5">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A934B2" w:rsidRPr="00573DF5" w:rsidRDefault="00A934B2" w:rsidP="00A934B2">
      <w:pPr>
        <w:suppressAutoHyphens/>
        <w:ind w:firstLine="567"/>
        <w:jc w:val="both"/>
      </w:pPr>
      <w:r w:rsidRPr="00573DF5">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A934B2" w:rsidRPr="00573DF5" w:rsidRDefault="00A934B2" w:rsidP="00A934B2">
      <w:pPr>
        <w:suppressAutoHyphens/>
        <w:ind w:firstLine="567"/>
        <w:jc w:val="both"/>
      </w:pPr>
      <w:r w:rsidRPr="00573DF5">
        <w:t>Применение для инвалидов вместо пандусов аппарелей не допускается на объекте (в соответствии с п. 6.1.2 СП 59.13330.2020).</w:t>
      </w:r>
    </w:p>
    <w:p w:rsidR="00A934B2" w:rsidRPr="00573DF5" w:rsidRDefault="00A934B2" w:rsidP="00A934B2">
      <w:pPr>
        <w:suppressAutoHyphens/>
        <w:ind w:firstLine="567"/>
        <w:jc w:val="both"/>
        <w:rPr>
          <w:color w:val="000000"/>
        </w:rPr>
      </w:pPr>
      <w:r w:rsidRPr="00573DF5">
        <w:rPr>
          <w:color w:val="000000"/>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573DF5">
        <w:t xml:space="preserve">в соответствии с </w:t>
      </w:r>
      <w:r w:rsidRPr="00573DF5">
        <w:rPr>
          <w:color w:val="000000"/>
        </w:rPr>
        <w:t>п.6.1.5, п. 6.1.6, п.6.2.4 СП 59.13330.2020)</w:t>
      </w:r>
    </w:p>
    <w:p w:rsidR="00A934B2" w:rsidRPr="00573DF5" w:rsidRDefault="00A934B2" w:rsidP="00A934B2">
      <w:pPr>
        <w:suppressAutoHyphens/>
        <w:ind w:firstLine="567"/>
        <w:jc w:val="both"/>
      </w:pPr>
      <w:r w:rsidRPr="00573DF5">
        <w:t>- Тактильно-контрастные указатели;</w:t>
      </w:r>
    </w:p>
    <w:p w:rsidR="00A934B2" w:rsidRPr="00573DF5" w:rsidRDefault="00A934B2" w:rsidP="00A934B2">
      <w:pPr>
        <w:suppressAutoHyphens/>
        <w:ind w:firstLine="567"/>
        <w:jc w:val="both"/>
      </w:pPr>
      <w:r w:rsidRPr="00573DF5">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A934B2" w:rsidRPr="00573DF5" w:rsidRDefault="00A934B2" w:rsidP="00A934B2">
      <w:pPr>
        <w:suppressAutoHyphens/>
        <w:ind w:firstLine="567"/>
        <w:jc w:val="both"/>
        <w:rPr>
          <w:b/>
        </w:rPr>
      </w:pPr>
      <w:r w:rsidRPr="00573DF5">
        <w:rPr>
          <w:b/>
        </w:rPr>
        <w:t>Пути движения внутри пункта (пунктов)</w:t>
      </w:r>
    </w:p>
    <w:p w:rsidR="00A934B2" w:rsidRPr="00573DF5" w:rsidRDefault="00A934B2" w:rsidP="00A934B2">
      <w:pPr>
        <w:suppressAutoHyphens/>
        <w:ind w:firstLine="567"/>
        <w:jc w:val="both"/>
      </w:pPr>
      <w:r w:rsidRPr="00573DF5">
        <w:t>При перепадах высот Поставщик должен учитывать наличие следующих элементов:</w:t>
      </w:r>
    </w:p>
    <w:p w:rsidR="00A934B2" w:rsidRPr="00573DF5" w:rsidRDefault="00A934B2" w:rsidP="00A934B2">
      <w:pPr>
        <w:suppressAutoHyphens/>
        <w:ind w:firstLine="567"/>
        <w:jc w:val="both"/>
      </w:pPr>
      <w:r w:rsidRPr="00573DF5">
        <w:t xml:space="preserve">- Лифт, подъемная платформа, эскалатор </w:t>
      </w:r>
    </w:p>
    <w:p w:rsidR="00A934B2" w:rsidRPr="00573DF5" w:rsidRDefault="00A934B2" w:rsidP="00A934B2">
      <w:pPr>
        <w:suppressAutoHyphens/>
        <w:ind w:firstLine="567"/>
        <w:jc w:val="both"/>
        <w:rPr>
          <w:b/>
        </w:rPr>
      </w:pPr>
      <w:r w:rsidRPr="00573DF5">
        <w:t>(в соответствии с п. 6.2.13 – п. 6.2.18 СП 59.13330.2020).</w:t>
      </w:r>
      <w:r w:rsidRPr="00573DF5">
        <w:rPr>
          <w:b/>
        </w:rPr>
        <w:t xml:space="preserve"> </w:t>
      </w:r>
    </w:p>
    <w:p w:rsidR="00A934B2" w:rsidRPr="00573DF5" w:rsidRDefault="00A934B2" w:rsidP="00A934B2">
      <w:pPr>
        <w:suppressAutoHyphens/>
        <w:ind w:firstLine="567"/>
        <w:jc w:val="both"/>
      </w:pPr>
      <w:r w:rsidRPr="00573DF5">
        <w:t>Лифт должен иметь габариты не менее 1100х1400 мм (ширина х глубина).</w:t>
      </w:r>
    </w:p>
    <w:p w:rsidR="00A934B2" w:rsidRPr="00573DF5" w:rsidRDefault="00A934B2" w:rsidP="00A934B2">
      <w:pPr>
        <w:suppressAutoHyphens/>
        <w:ind w:firstLine="567"/>
        <w:jc w:val="both"/>
        <w:rPr>
          <w:b/>
        </w:rPr>
      </w:pPr>
      <w:r w:rsidRPr="00573DF5">
        <w:t>- Лестницы необходимо обеспечить противоскользящими контрастными полосами общей шириной 0,08-0.1м. (в соответствии с п. 6.2.8 СП 59.13330.2020).</w:t>
      </w:r>
    </w:p>
    <w:p w:rsidR="00A934B2" w:rsidRPr="00573DF5" w:rsidRDefault="00A934B2" w:rsidP="00A934B2">
      <w:pPr>
        <w:suppressAutoHyphens/>
        <w:ind w:firstLine="567"/>
        <w:jc w:val="both"/>
      </w:pPr>
      <w:r w:rsidRPr="00573DF5">
        <w:lastRenderedPageBreak/>
        <w:t>-   Необходимо обеспечить зону досягаемости для посетителей в кресле-коляске в пределах, установленных в соответствии с п. 8.1.7 СП.59.13330.2020.</w:t>
      </w:r>
    </w:p>
    <w:p w:rsidR="00A934B2" w:rsidRPr="00573DF5" w:rsidRDefault="00A934B2" w:rsidP="00A934B2">
      <w:pPr>
        <w:suppressAutoHyphens/>
        <w:ind w:firstLine="567"/>
        <w:jc w:val="both"/>
      </w:pPr>
      <w:r w:rsidRPr="00573DF5">
        <w:t xml:space="preserve">- Помещение пункта (пунктов) приема </w:t>
      </w:r>
      <w:r w:rsidRPr="00573DF5">
        <w:rPr>
          <w:rFonts w:ascii="Times New Roman CYR" w:hAnsi="Times New Roman CYR" w:cs="Times New Roman CYR"/>
        </w:rPr>
        <w:t>Получателей</w:t>
      </w:r>
      <w:r w:rsidRPr="00573DF5">
        <w:t xml:space="preserve">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A934B2" w:rsidRPr="00573DF5" w:rsidRDefault="00A934B2" w:rsidP="00A934B2">
      <w:pPr>
        <w:suppressAutoHyphens/>
        <w:ind w:firstLine="567"/>
        <w:jc w:val="both"/>
      </w:pPr>
      <w:r w:rsidRPr="00573DF5">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A934B2" w:rsidRPr="00573DF5" w:rsidRDefault="00A934B2" w:rsidP="00A934B2">
      <w:pPr>
        <w:suppressAutoHyphens/>
        <w:ind w:firstLine="567"/>
        <w:jc w:val="both"/>
      </w:pPr>
      <w:r w:rsidRPr="00573DF5">
        <w:t xml:space="preserve">- </w:t>
      </w:r>
      <w:proofErr w:type="gramStart"/>
      <w:r w:rsidRPr="00573DF5">
        <w:t>В</w:t>
      </w:r>
      <w:proofErr w:type="gramEnd"/>
      <w:r w:rsidRPr="00573DF5">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A934B2" w:rsidRPr="00573DF5" w:rsidRDefault="00A934B2" w:rsidP="00A934B2">
      <w:pPr>
        <w:suppressAutoHyphens/>
        <w:ind w:firstLine="567"/>
        <w:jc w:val="both"/>
        <w:rPr>
          <w:b/>
        </w:rPr>
      </w:pPr>
      <w:r w:rsidRPr="00573DF5">
        <w:rPr>
          <w:b/>
        </w:rPr>
        <w:t>Пути эвакуации</w:t>
      </w:r>
    </w:p>
    <w:p w:rsidR="00A934B2" w:rsidRPr="00573DF5" w:rsidRDefault="00A934B2" w:rsidP="00A934B2">
      <w:pPr>
        <w:suppressAutoHyphens/>
        <w:ind w:firstLine="567"/>
        <w:jc w:val="both"/>
      </w:pPr>
      <w:r w:rsidRPr="00573DF5">
        <w:t xml:space="preserve">В случае невозможности соблюдения положений </w:t>
      </w:r>
      <w:r w:rsidRPr="00573DF5">
        <w:rPr>
          <w:shd w:val="clear" w:color="auto" w:fill="FFFFFF"/>
        </w:rPr>
        <w:t>ч.15 ст.</w:t>
      </w:r>
      <w:r w:rsidRPr="00B35EB3">
        <w:t>89 Федерального закона от 22.07.2008 N 123-ФЗ «Технический регламент о требованиях пожарной безопасности</w:t>
      </w:r>
      <w:r w:rsidRPr="00573DF5">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A934B2" w:rsidRPr="00573DF5" w:rsidRDefault="00A934B2" w:rsidP="00A934B2">
      <w:pPr>
        <w:suppressAutoHyphens/>
        <w:ind w:firstLine="567"/>
        <w:jc w:val="both"/>
      </w:pPr>
      <w:r w:rsidRPr="00573DF5">
        <w:t xml:space="preserve">Пути эвакуации помещений пункта (пунктов) приема </w:t>
      </w:r>
      <w:r w:rsidRPr="00573DF5">
        <w:rPr>
          <w:rFonts w:ascii="Times New Roman CYR" w:hAnsi="Times New Roman CYR" w:cs="Times New Roman CYR"/>
        </w:rPr>
        <w:t>Получателей</w:t>
      </w:r>
      <w:r w:rsidRPr="00573DF5">
        <w:t xml:space="preserve"> должны обеспечивать безопасность посетителей в соответствии с п.6.2.19-п.6.2.32 СП 59.13330.2020.</w:t>
      </w:r>
    </w:p>
    <w:p w:rsidR="00A934B2" w:rsidRPr="00573DF5" w:rsidRDefault="00A934B2" w:rsidP="00A934B2">
      <w:pPr>
        <w:suppressAutoHyphens/>
        <w:ind w:firstLine="567"/>
        <w:jc w:val="both"/>
      </w:pPr>
      <w:r w:rsidRPr="00573DF5">
        <w:t>Обеспечить систему двухсторонней связи с диспетчером или дежурным (в соответствии с п. 6.5.8 СП 59.13330.2020).</w:t>
      </w:r>
    </w:p>
    <w:p w:rsidR="00A934B2" w:rsidRPr="00573DF5" w:rsidRDefault="00A934B2" w:rsidP="00A934B2">
      <w:pPr>
        <w:suppressAutoHyphens/>
        <w:ind w:firstLine="567"/>
        <w:jc w:val="both"/>
      </w:pPr>
      <w:r w:rsidRPr="00573DF5">
        <w:t xml:space="preserve">5.4. На территории пункта приема </w:t>
      </w:r>
      <w:r w:rsidRPr="00573DF5">
        <w:rPr>
          <w:rFonts w:ascii="Times New Roman CYR" w:hAnsi="Times New Roman CYR" w:cs="Times New Roman CYR"/>
        </w:rPr>
        <w:t>Получателей</w:t>
      </w:r>
      <w:r w:rsidRPr="00573DF5">
        <w:t xml:space="preserve"> должны иметься туалетные комнаты, оборудованные для посещения Получателями в соответствии с п. 5.22. </w:t>
      </w:r>
      <w:r w:rsidRPr="00573DF5">
        <w:rPr>
          <w:bCs/>
          <w:spacing w:val="2"/>
          <w:shd w:val="clear" w:color="auto" w:fill="FFFFFF"/>
        </w:rPr>
        <w:t>СП 44.13330.2011 Административные и бытовые здания. Актуализированная редакция СНиП 2.09.04-87</w:t>
      </w:r>
      <w:r w:rsidRPr="00573DF5">
        <w:t xml:space="preserve">, со свободным доступом Получателей. При чем не менее 1 (одной) оборудованной для посещения инвалидами в соответствии с п. 6.3.3, 6.3.6, </w:t>
      </w:r>
      <w:r w:rsidRPr="00573DF5">
        <w:rPr>
          <w:spacing w:val="2"/>
          <w:shd w:val="clear" w:color="auto" w:fill="FFFFFF"/>
        </w:rPr>
        <w:t>6.3.9</w:t>
      </w:r>
      <w:r w:rsidRPr="00573DF5">
        <w:t xml:space="preserve"> </w:t>
      </w:r>
      <w:hyperlink r:id="rId5" w:history="1">
        <w:r w:rsidRPr="00573DF5">
          <w:t>СП 59.13330.2020 «Доступность зданий и сооружений для маломобильных групп населения»</w:t>
        </w:r>
      </w:hyperlink>
      <w:r w:rsidRPr="00573DF5">
        <w:t>.</w:t>
      </w:r>
    </w:p>
    <w:p w:rsidR="00A934B2" w:rsidRPr="00573DF5" w:rsidRDefault="00A934B2" w:rsidP="00A934B2">
      <w:pPr>
        <w:ind w:firstLine="567"/>
        <w:jc w:val="both"/>
      </w:pPr>
      <w:r w:rsidRPr="00573DF5">
        <w:t xml:space="preserve">5.5. Пункт(ы) приема </w:t>
      </w:r>
      <w:r w:rsidRPr="00573DF5">
        <w:rPr>
          <w:rFonts w:ascii="Times New Roman CYR" w:hAnsi="Times New Roman CYR" w:cs="Times New Roman CYR"/>
        </w:rPr>
        <w:t>Получателей</w:t>
      </w:r>
      <w:r w:rsidRPr="00573DF5">
        <w:t xml:space="preserve">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w:t>
      </w:r>
      <w:r w:rsidRPr="00573DF5">
        <w:rPr>
          <w:rFonts w:ascii="Times New Roman CYR" w:hAnsi="Times New Roman CYR" w:cs="Times New Roman CYR"/>
        </w:rPr>
        <w:t>Получателей</w:t>
      </w:r>
      <w:r w:rsidRPr="00573DF5">
        <w:t xml:space="preserve"> не позволяет обеспечить достижение указанного показателя, Поставщиком оборудуются дополнительные окна обслуживания.</w:t>
      </w:r>
    </w:p>
    <w:p w:rsidR="00A934B2" w:rsidRPr="00573DF5" w:rsidRDefault="00A934B2" w:rsidP="00A934B2">
      <w:pPr>
        <w:suppressAutoHyphens/>
        <w:ind w:firstLine="567"/>
        <w:jc w:val="both"/>
      </w:pPr>
      <w:r w:rsidRPr="00573DF5">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573DF5">
        <w:rPr>
          <w:lang w:eastAsia="ar-SA"/>
        </w:rPr>
        <w:t xml:space="preserve">пункта </w:t>
      </w:r>
      <w:r w:rsidRPr="00573DF5">
        <w:t>(пунктов)</w:t>
      </w:r>
      <w:r w:rsidRPr="00573DF5">
        <w:rPr>
          <w:lang w:eastAsia="ar-SA"/>
        </w:rPr>
        <w:t xml:space="preserve"> приема</w:t>
      </w:r>
      <w:r w:rsidRPr="00573DF5">
        <w:t xml:space="preserve"> </w:t>
      </w:r>
      <w:r w:rsidRPr="00573DF5">
        <w:rPr>
          <w:rFonts w:ascii="Times New Roman CYR" w:hAnsi="Times New Roman CYR" w:cs="Times New Roman CYR"/>
        </w:rPr>
        <w:t>Получателей</w:t>
      </w:r>
      <w:r w:rsidRPr="00573DF5">
        <w:t xml:space="preserve">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A934B2" w:rsidRPr="00573DF5" w:rsidRDefault="00A934B2" w:rsidP="00A934B2">
      <w:pPr>
        <w:suppressAutoHyphens/>
        <w:ind w:firstLine="567"/>
        <w:jc w:val="both"/>
      </w:pPr>
      <w:r w:rsidRPr="00573DF5">
        <w:t>5.7. Товар должен находиться на складе пункта (пунктов) приема</w:t>
      </w:r>
      <w:r w:rsidRPr="00573DF5">
        <w:rPr>
          <w:rFonts w:ascii="Times New Roman CYR" w:hAnsi="Times New Roman CYR" w:cs="Times New Roman CYR"/>
        </w:rPr>
        <w:t xml:space="preserve"> Получателей</w:t>
      </w:r>
      <w:r w:rsidRPr="00573DF5">
        <w:t>,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A934B2" w:rsidRPr="00573DF5" w:rsidRDefault="00A934B2" w:rsidP="00A934B2">
      <w:pPr>
        <w:widowControl w:val="0"/>
        <w:ind w:firstLine="567"/>
        <w:jc w:val="both"/>
      </w:pPr>
      <w:r w:rsidRPr="00573DF5">
        <w:t xml:space="preserve">5.8. Пункт (пункты) приема </w:t>
      </w:r>
      <w:r w:rsidRPr="00573DF5">
        <w:rPr>
          <w:rFonts w:ascii="Times New Roman CYR" w:hAnsi="Times New Roman CYR" w:cs="Times New Roman CYR"/>
        </w:rPr>
        <w:t>Получателей</w:t>
      </w:r>
      <w:r w:rsidRPr="00573DF5">
        <w:t xml:space="preserve">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934B2" w:rsidRPr="00573DF5" w:rsidRDefault="00A934B2" w:rsidP="00A934B2">
      <w:pPr>
        <w:widowControl w:val="0"/>
        <w:ind w:firstLine="567"/>
        <w:jc w:val="both"/>
      </w:pPr>
      <w:r w:rsidRPr="00573DF5">
        <w:t>- возможность беспрепятственного входа в объекты и выхода из них;</w:t>
      </w:r>
    </w:p>
    <w:p w:rsidR="00A934B2" w:rsidRPr="00573DF5" w:rsidRDefault="00A934B2" w:rsidP="00A934B2">
      <w:pPr>
        <w:widowControl w:val="0"/>
        <w:ind w:firstLine="567"/>
        <w:jc w:val="both"/>
      </w:pPr>
      <w:r w:rsidRPr="00573DF5">
        <w:lastRenderedPageBreak/>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573DF5">
        <w:t>ассистивных</w:t>
      </w:r>
      <w:proofErr w:type="spellEnd"/>
      <w:r w:rsidRPr="00573DF5">
        <w:t xml:space="preserve"> и вспомогательных технологий, а также сменного кресла-коляски;</w:t>
      </w:r>
    </w:p>
    <w:p w:rsidR="00A934B2" w:rsidRPr="00573DF5" w:rsidRDefault="00A934B2" w:rsidP="00A934B2">
      <w:pPr>
        <w:widowControl w:val="0"/>
        <w:ind w:firstLine="567"/>
        <w:jc w:val="both"/>
      </w:pPr>
      <w:r w:rsidRPr="00573DF5">
        <w:t>- сопровождение инвалидов, имеющих стойкие нарушения функции зрения и самостоятельного передвижения по территории объекта;</w:t>
      </w:r>
    </w:p>
    <w:p w:rsidR="00A934B2" w:rsidRPr="00573DF5" w:rsidRDefault="00A934B2" w:rsidP="00A934B2">
      <w:pPr>
        <w:widowControl w:val="0"/>
        <w:ind w:firstLine="567"/>
        <w:jc w:val="both"/>
      </w:pPr>
      <w:r w:rsidRPr="00573DF5">
        <w:t>- содействие инвалиду при входе в объект и выходе из него, информирование инвалида о доступных маршрутах общественного транспорта;</w:t>
      </w:r>
    </w:p>
    <w:p w:rsidR="00A934B2" w:rsidRPr="00573DF5" w:rsidRDefault="00A934B2" w:rsidP="00A934B2">
      <w:pPr>
        <w:widowControl w:val="0"/>
        <w:ind w:firstLine="567"/>
        <w:jc w:val="both"/>
      </w:pPr>
      <w:r w:rsidRPr="00573DF5">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934B2" w:rsidRPr="00573DF5" w:rsidRDefault="00A934B2" w:rsidP="00A934B2">
      <w:pPr>
        <w:widowControl w:val="0"/>
        <w:ind w:firstLine="567"/>
        <w:jc w:val="both"/>
      </w:pPr>
      <w:r w:rsidRPr="00573DF5">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6" w:anchor="block_1000" w:history="1">
        <w:r w:rsidRPr="00573DF5">
          <w:t>форме</w:t>
        </w:r>
      </w:hyperlink>
      <w:r w:rsidRPr="00573DF5">
        <w:t xml:space="preserve"> и в </w:t>
      </w:r>
      <w:hyperlink r:id="rId7" w:anchor="block_2000" w:history="1">
        <w:r w:rsidRPr="00573DF5">
          <w:t>порядке</w:t>
        </w:r>
      </w:hyperlink>
      <w:r w:rsidRPr="00573DF5">
        <w:t xml:space="preserve">, утвержденных </w:t>
      </w:r>
      <w:hyperlink r:id="rId8" w:history="1">
        <w:r w:rsidRPr="00573DF5">
          <w:t>приказом</w:t>
        </w:r>
      </w:hyperlink>
      <w:r w:rsidRPr="00573DF5">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A934B2" w:rsidRPr="00573DF5" w:rsidRDefault="00A934B2" w:rsidP="00A934B2">
      <w:pPr>
        <w:ind w:firstLine="567"/>
        <w:jc w:val="both"/>
      </w:pPr>
      <w:r w:rsidRPr="00573DF5">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A934B2" w:rsidRPr="00573DF5" w:rsidRDefault="00A934B2" w:rsidP="00A934B2">
      <w:pPr>
        <w:ind w:firstLine="567"/>
        <w:jc w:val="both"/>
      </w:pPr>
      <w:r w:rsidRPr="00573DF5">
        <w:t>6. В случае выбора Получателем способа получения Товара по месту нахождения пункта (пунктов) приема</w:t>
      </w:r>
      <w:r w:rsidRPr="00573DF5">
        <w:rPr>
          <w:rFonts w:ascii="Times New Roman CYR" w:hAnsi="Times New Roman CYR" w:cs="Times New Roman CYR"/>
        </w:rPr>
        <w:t xml:space="preserve"> Получателей</w:t>
      </w:r>
      <w:r w:rsidRPr="00573DF5">
        <w:t xml:space="preserve">, организованных Поставщиком, передача Товара Получателю осуществляется </w:t>
      </w:r>
      <w:r>
        <w:t>в течение 10 (десяти) календарных дней со дня</w:t>
      </w:r>
      <w:r w:rsidRPr="00573DF5">
        <w:t xml:space="preserve"> обращения Получателя в пункт(-ы) приема</w:t>
      </w:r>
      <w:r w:rsidRPr="00573DF5">
        <w:rPr>
          <w:rFonts w:ascii="Times New Roman CYR" w:hAnsi="Times New Roman CYR" w:cs="Times New Roman CYR"/>
        </w:rPr>
        <w:t xml:space="preserve"> Получателей</w:t>
      </w:r>
      <w:r>
        <w:t xml:space="preserve"> с направлением, но не ранее 09.01.2025. </w:t>
      </w:r>
      <w:r w:rsidRPr="00573DF5">
        <w:t>На отрывном талоне направления Поставщик в обязательном порядке проставляет дату обращения Получателя.</w:t>
      </w:r>
    </w:p>
    <w:p w:rsidR="00A934B2" w:rsidRPr="00573DF5" w:rsidRDefault="00A934B2" w:rsidP="00A934B2">
      <w:pPr>
        <w:ind w:firstLine="567"/>
        <w:jc w:val="both"/>
      </w:pPr>
      <w:r w:rsidRPr="00573DF5">
        <w:t xml:space="preserve">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пунктов приема Получателей не менее </w:t>
      </w:r>
      <w:r>
        <w:t>5</w:t>
      </w:r>
      <w:r w:rsidRPr="00573DF5">
        <w:t xml:space="preserve"> (</w:t>
      </w:r>
      <w:r>
        <w:t>пяти</w:t>
      </w:r>
      <w:r w:rsidRPr="00573DF5">
        <w:t>) дней</w:t>
      </w:r>
      <w:r>
        <w:t xml:space="preserve"> в</w:t>
      </w:r>
      <w:r w:rsidRPr="00573DF5">
        <w:t xml:space="preserve"> неделю, не менее 40 (сорока) часов в неделю, при этом, время работы должно быть в интервале с 08:00 до 22:00.</w:t>
      </w:r>
    </w:p>
    <w:p w:rsidR="00A934B2" w:rsidRPr="00A934B2" w:rsidRDefault="00A934B2" w:rsidP="00A934B2">
      <w:pPr>
        <w:shd w:val="clear" w:color="auto" w:fill="FFFFFF"/>
        <w:ind w:firstLine="567"/>
        <w:jc w:val="both"/>
      </w:pPr>
      <w:r w:rsidRPr="00573DF5">
        <w:t xml:space="preserve">6.2. </w:t>
      </w:r>
      <w:r w:rsidRPr="00A934B2">
        <w:t>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Санкт-Петербурга и Ленинградской области, не менее чем с 10:00 до 21:00 не менее 5 (пяти) дней в неделю с 09.01.2025, по предварительной записи</w:t>
      </w:r>
      <w:r>
        <w:t xml:space="preserve"> по телефону, предоставленному Заказчику в срок </w:t>
      </w:r>
      <w:r w:rsidRPr="00A934B2">
        <w:t>не позднее 1 рабочего дня с даты заключения государственного контракта.</w:t>
      </w:r>
    </w:p>
    <w:p w:rsidR="00A934B2" w:rsidRDefault="00A934B2" w:rsidP="00A934B2">
      <w:pPr>
        <w:suppressAutoHyphens/>
        <w:ind w:firstLine="567"/>
        <w:jc w:val="both"/>
      </w:pPr>
      <w:r w:rsidRPr="00A934B2">
        <w:t xml:space="preserve">Доставка осуществляется за счет средств Поставщика. Поставщик обязан информировать Заказчика о невозможности доставки Товара Получателю не позднее дня, следующего за </w:t>
      </w:r>
      <w:r>
        <w:t>днем доставки, согласованным с </w:t>
      </w:r>
      <w:r w:rsidRPr="00A934B2">
        <w:t>Получателем</w:t>
      </w:r>
      <w:r>
        <w:t>.</w:t>
      </w:r>
    </w:p>
    <w:p w:rsidR="00A934B2" w:rsidRPr="00573DF5" w:rsidRDefault="00A934B2" w:rsidP="00A934B2">
      <w:pPr>
        <w:autoSpaceDE w:val="0"/>
        <w:autoSpaceDN w:val="0"/>
        <w:adjustRightInd w:val="0"/>
        <w:ind w:firstLine="567"/>
        <w:jc w:val="both"/>
      </w:pPr>
      <w:r w:rsidRPr="00573DF5">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r w:rsidRPr="00962079">
        <w:t xml:space="preserve"> Срок поставки товара Получателям по первому переданному реестру исчисляется с 09.01.2025.</w:t>
      </w:r>
    </w:p>
    <w:p w:rsidR="00A934B2" w:rsidRDefault="00A934B2" w:rsidP="00A934B2">
      <w:pPr>
        <w:suppressAutoHyphens/>
        <w:ind w:firstLine="567"/>
        <w:jc w:val="both"/>
      </w:pPr>
      <w:r w:rsidRPr="00573DF5">
        <w:t xml:space="preserve">6.4. </w:t>
      </w:r>
      <w:r>
        <w:t>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Товара и соответствия пункта (пунктов) приема</w:t>
      </w:r>
      <w:r>
        <w:rPr>
          <w:rFonts w:ascii="Times New Roman CYR" w:hAnsi="Times New Roman CYR" w:cs="Times New Roman CYR"/>
        </w:rPr>
        <w:t xml:space="preserve"> Получателей</w:t>
      </w:r>
      <w:r>
        <w:t xml:space="preserve"> требованиям </w:t>
      </w:r>
      <w:r>
        <w:lastRenderedPageBreak/>
        <w:t xml:space="preserve">Технического задания в течение 2 (двух) рабочих дней с даты поставки Товара. При проведении проверки Заказчик вправе осуществлять </w:t>
      </w:r>
      <w:proofErr w:type="spellStart"/>
      <w:r>
        <w:t>фотофиксацию</w:t>
      </w:r>
      <w:proofErr w:type="spellEnd"/>
      <w:r>
        <w:t xml:space="preserve"> и/или видеозапись.</w:t>
      </w:r>
    </w:p>
    <w:p w:rsidR="00A934B2" w:rsidRPr="00573DF5" w:rsidRDefault="00A934B2" w:rsidP="00A934B2">
      <w:pPr>
        <w:suppressAutoHyphens/>
        <w:ind w:firstLine="567"/>
        <w:jc w:val="both"/>
      </w:pPr>
      <w:r w:rsidRPr="00573DF5">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9" w:history="1">
        <w:r w:rsidRPr="00573DF5">
          <w:rPr>
            <w:rStyle w:val="a3"/>
          </w:rPr>
          <w:t>osp@ro78.fss.ru</w:t>
        </w:r>
      </w:hyperlink>
      <w:r>
        <w:t>.</w:t>
      </w:r>
    </w:p>
    <w:p w:rsidR="00A934B2" w:rsidRDefault="00A934B2" w:rsidP="00A934B2">
      <w:pPr>
        <w:suppressAutoHyphens/>
        <w:ind w:firstLine="567"/>
        <w:jc w:val="both"/>
      </w:pPr>
      <w:r w:rsidRPr="00573DF5">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44007D" w:rsidRDefault="0044007D" w:rsidP="00A934B2">
      <w:pPr>
        <w:jc w:val="center"/>
      </w:pPr>
    </w:p>
    <w:sectPr w:rsidR="004400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EA142F0"/>
    <w:multiLevelType w:val="hybridMultilevel"/>
    <w:tmpl w:val="EAF8B07C"/>
    <w:lvl w:ilvl="0" w:tplc="7B828A3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4E6"/>
    <w:rsid w:val="00104691"/>
    <w:rsid w:val="00163E5D"/>
    <w:rsid w:val="003B34E6"/>
    <w:rsid w:val="0044007D"/>
    <w:rsid w:val="00A408CC"/>
    <w:rsid w:val="00A93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07EAD-D317-4B80-94A5-040E75D9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07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4007D"/>
    <w:rPr>
      <w:rFonts w:cs="Times New Roman"/>
      <w:color w:val="0000FF"/>
      <w:u w:val="single"/>
    </w:rPr>
  </w:style>
  <w:style w:type="paragraph" w:styleId="a4">
    <w:name w:val="List Paragraph"/>
    <w:aliases w:val="GOST_TableList,it_List1,Bullet List,FooterText,numbered,Нумерованый список,SL_Абзац списка,List Paragraph,Абзац списка литеральный,Paragraphe de liste1,lp1,ПС - Нумерованный,A_маркированный_список,ТЗ список,Dash,Table-Normal,Подпись рисунка"/>
    <w:basedOn w:val="a"/>
    <w:link w:val="a5"/>
    <w:uiPriority w:val="34"/>
    <w:qFormat/>
    <w:rsid w:val="0044007D"/>
    <w:pPr>
      <w:ind w:left="720"/>
      <w:contextualSpacing/>
    </w:pPr>
  </w:style>
  <w:style w:type="character" w:customStyle="1" w:styleId="a5">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link w:val="a4"/>
    <w:uiPriority w:val="34"/>
    <w:qFormat/>
    <w:rsid w:val="0044007D"/>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1145140/" TargetMode="External"/><Relationship Id="rId3" Type="http://schemas.openxmlformats.org/officeDocument/2006/relationships/settings" Target="settings.xml"/><Relationship Id="rId7" Type="http://schemas.openxmlformats.org/officeDocument/2006/relationships/hyperlink" Target="http://base.garant.ru/71145140/f7ee959fd36b5699076b35abf4f52c5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71145140/53f89421bbdaf741eb2d1ecc4ddb4c33/" TargetMode="External"/><Relationship Id="rId11" Type="http://schemas.openxmlformats.org/officeDocument/2006/relationships/theme" Target="theme/theme1.xml"/><Relationship Id="rId5" Type="http://schemas.openxmlformats.org/officeDocument/2006/relationships/hyperlink" Target="https://www.minstroyrf.ru/docs/1322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sp@ro78.f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4242</Words>
  <Characters>24183</Characters>
  <Application>Microsoft Office Word</Application>
  <DocSecurity>0</DocSecurity>
  <Lines>201</Lines>
  <Paragraphs>56</Paragraphs>
  <ScaleCrop>false</ScaleCrop>
  <Company/>
  <LinksUpToDate>false</LinksUpToDate>
  <CharactersWithSpaces>28369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Горбунова Нина Александровна</dc:creator>
  <cp:keywords/>
  <dc:description/>
  <cp:lastModifiedBy>Горбунова Нина Александровна</cp:lastModifiedBy>
  <cp:revision>5</cp:revision>
  <dcterms:created xsi:type="dcterms:W3CDTF">2024-11-28T12:13:00Z</dcterms:created>
  <dcterms:modified xsi:type="dcterms:W3CDTF">2024-11-29T10:13:00Z</dcterms:modified>
</cp:coreProperties>
</file>