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Pr="00476F62" w:rsidRDefault="006D2E03" w:rsidP="008A2453">
      <w:pPr>
        <w:jc w:val="right"/>
        <w:rPr>
          <w:rFonts w:ascii="Times New Roman" w:hAnsi="Times New Roman" w:cs="Times New Roman"/>
        </w:rPr>
      </w:pPr>
      <w:r w:rsidRPr="00476F62">
        <w:rPr>
          <w:rFonts w:ascii="Times New Roman" w:hAnsi="Times New Roman" w:cs="Times New Roman"/>
        </w:rPr>
        <w:t xml:space="preserve">Приложение №3 к извещению </w:t>
      </w:r>
    </w:p>
    <w:p w:rsidR="006D2E03" w:rsidRPr="00476F62" w:rsidRDefault="006D2E03" w:rsidP="008A2453">
      <w:pPr>
        <w:jc w:val="right"/>
        <w:rPr>
          <w:rFonts w:ascii="Times New Roman" w:hAnsi="Times New Roman" w:cs="Times New Roman"/>
        </w:rPr>
      </w:pPr>
      <w:r w:rsidRPr="00476F62">
        <w:rPr>
          <w:rFonts w:ascii="Times New Roman" w:hAnsi="Times New Roman" w:cs="Times New Roman"/>
        </w:rPr>
        <w:t xml:space="preserve">о проведении </w:t>
      </w:r>
      <w:r w:rsidR="00572803" w:rsidRPr="00476F62">
        <w:rPr>
          <w:rFonts w:ascii="Times New Roman" w:hAnsi="Times New Roman" w:cs="Times New Roman"/>
        </w:rPr>
        <w:t>аукциона</w:t>
      </w:r>
      <w:r w:rsidR="00B54C59" w:rsidRPr="00476F62">
        <w:rPr>
          <w:rFonts w:ascii="Times New Roman" w:hAnsi="Times New Roman" w:cs="Times New Roman"/>
        </w:rPr>
        <w:t xml:space="preserve"> в электронной форме</w:t>
      </w:r>
    </w:p>
    <w:p w:rsidR="006D2E03" w:rsidRPr="00476F62" w:rsidRDefault="006D2E03" w:rsidP="008A2453">
      <w:pPr>
        <w:jc w:val="right"/>
        <w:rPr>
          <w:rFonts w:ascii="Times New Roman" w:hAnsi="Times New Roman" w:cs="Times New Roman"/>
        </w:rPr>
      </w:pPr>
    </w:p>
    <w:p w:rsidR="006D2E03" w:rsidRPr="00476F62" w:rsidRDefault="006D2E03" w:rsidP="008A2453">
      <w:pPr>
        <w:jc w:val="center"/>
        <w:rPr>
          <w:rFonts w:ascii="Times New Roman" w:hAnsi="Times New Roman" w:cs="Times New Roman"/>
        </w:rPr>
      </w:pPr>
      <w:r w:rsidRPr="00476F62">
        <w:rPr>
          <w:rFonts w:ascii="Times New Roman" w:hAnsi="Times New Roman" w:cs="Times New Roman"/>
        </w:rPr>
        <w:t>Наименование и описание объекта закупки</w:t>
      </w:r>
    </w:p>
    <w:p w:rsidR="008A2453" w:rsidRPr="00476F62" w:rsidRDefault="00656B7B" w:rsidP="008A2453">
      <w:pPr>
        <w:jc w:val="center"/>
        <w:rPr>
          <w:rFonts w:ascii="Times New Roman" w:hAnsi="Times New Roman" w:cs="Times New Roman"/>
        </w:rPr>
      </w:pPr>
      <w:r w:rsidRPr="00476F62">
        <w:rPr>
          <w:rFonts w:ascii="Times New Roman" w:hAnsi="Times New Roman" w:cs="Times New Roman"/>
        </w:rPr>
        <w:t>на поставку   про</w:t>
      </w:r>
      <w:r w:rsidR="00572803" w:rsidRPr="00476F62">
        <w:rPr>
          <w:rFonts w:ascii="Times New Roman" w:hAnsi="Times New Roman" w:cs="Times New Roman"/>
        </w:rPr>
        <w:t>тивопролежневых матрацев на 2025</w:t>
      </w:r>
      <w:r w:rsidRPr="00476F62">
        <w:rPr>
          <w:rFonts w:ascii="Times New Roman" w:hAnsi="Times New Roman" w:cs="Times New Roman"/>
        </w:rPr>
        <w:t xml:space="preserve"> год</w:t>
      </w:r>
    </w:p>
    <w:p w:rsidR="008A2453" w:rsidRPr="00476F62" w:rsidRDefault="008A2453" w:rsidP="008A2453">
      <w:pPr>
        <w:rPr>
          <w:rFonts w:ascii="Times New Roman" w:hAnsi="Times New Roman" w:cs="Times New Roman"/>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843"/>
        <w:gridCol w:w="1276"/>
        <w:gridCol w:w="850"/>
        <w:gridCol w:w="1276"/>
      </w:tblGrid>
      <w:tr w:rsidR="000868CE" w:rsidRPr="00476F62" w:rsidTr="000868CE">
        <w:trPr>
          <w:trHeight w:val="387"/>
        </w:trPr>
        <w:tc>
          <w:tcPr>
            <w:tcW w:w="156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Наименование товара, работы, услуги</w:t>
            </w:r>
          </w:p>
        </w:tc>
        <w:tc>
          <w:tcPr>
            <w:tcW w:w="1559" w:type="dxa"/>
            <w:vMerge w:val="restart"/>
            <w:vAlign w:val="center"/>
          </w:tcPr>
          <w:p w:rsidR="000868CE" w:rsidRPr="00476F62" w:rsidRDefault="000868CE" w:rsidP="008A2453">
            <w:pPr>
              <w:rPr>
                <w:rFonts w:ascii="Times New Roman" w:hAnsi="Times New Roman" w:cs="Times New Roman"/>
              </w:rPr>
            </w:pPr>
            <w:r w:rsidRPr="00476F62">
              <w:rPr>
                <w:rFonts w:ascii="Times New Roman" w:hAnsi="Times New Roman" w:cs="Times New Roman"/>
              </w:rPr>
              <w:t>Код позиции</w:t>
            </w:r>
          </w:p>
        </w:tc>
        <w:tc>
          <w:tcPr>
            <w:tcW w:w="4820" w:type="dxa"/>
            <w:gridSpan w:val="3"/>
          </w:tcPr>
          <w:p w:rsidR="000868CE" w:rsidRPr="00476F62" w:rsidRDefault="000868CE" w:rsidP="008A2453">
            <w:pPr>
              <w:rPr>
                <w:rFonts w:ascii="Times New Roman" w:hAnsi="Times New Roman" w:cs="Times New Roman"/>
              </w:rPr>
            </w:pPr>
            <w:r w:rsidRPr="00476F62">
              <w:rPr>
                <w:rFonts w:ascii="Times New Roman" w:hAnsi="Times New Roman" w:cs="Times New Roman"/>
              </w:rPr>
              <w:t>Характеристика товара, работы. услуги</w:t>
            </w:r>
          </w:p>
          <w:p w:rsidR="000868CE" w:rsidRPr="00476F62" w:rsidRDefault="000868CE" w:rsidP="008A2453">
            <w:pPr>
              <w:rPr>
                <w:rFonts w:ascii="Times New Roman" w:hAnsi="Times New Roman" w:cs="Times New Roman"/>
              </w:rPr>
            </w:pPr>
          </w:p>
        </w:tc>
        <w:tc>
          <w:tcPr>
            <w:tcW w:w="85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Единица измерения</w:t>
            </w:r>
          </w:p>
        </w:tc>
        <w:tc>
          <w:tcPr>
            <w:tcW w:w="1276"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Количество (объем работы, услуги)</w:t>
            </w:r>
          </w:p>
        </w:tc>
      </w:tr>
      <w:tr w:rsidR="000868CE" w:rsidRPr="00476F62" w:rsidTr="000868CE">
        <w:trPr>
          <w:trHeight w:val="930"/>
        </w:trPr>
        <w:tc>
          <w:tcPr>
            <w:tcW w:w="1560" w:type="dxa"/>
            <w:vMerge/>
          </w:tcPr>
          <w:p w:rsidR="000868CE" w:rsidRPr="00476F62" w:rsidRDefault="000868CE" w:rsidP="008A2453">
            <w:pPr>
              <w:rPr>
                <w:rFonts w:ascii="Times New Roman" w:hAnsi="Times New Roman" w:cs="Times New Roman"/>
              </w:rPr>
            </w:pPr>
          </w:p>
        </w:tc>
        <w:tc>
          <w:tcPr>
            <w:tcW w:w="1559" w:type="dxa"/>
            <w:vMerge/>
            <w:vAlign w:val="center"/>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Наименование характеристики</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Значение характеристики</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Единица измерения характеристики</w:t>
            </w:r>
          </w:p>
          <w:p w:rsidR="000868CE" w:rsidRPr="00476F62" w:rsidRDefault="000868CE" w:rsidP="008A2453">
            <w:pPr>
              <w:rPr>
                <w:rFonts w:ascii="Times New Roman" w:hAnsi="Times New Roman" w:cs="Times New Roman"/>
              </w:rPr>
            </w:pP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71"/>
        </w:trPr>
        <w:tc>
          <w:tcPr>
            <w:tcW w:w="156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Матрас противопролежневый с наполнителем из пеноматериала</w:t>
            </w:r>
          </w:p>
          <w:p w:rsidR="000868CE" w:rsidRPr="00476F62" w:rsidRDefault="000868CE" w:rsidP="008A2453">
            <w:pPr>
              <w:rPr>
                <w:rFonts w:ascii="Times New Roman" w:hAnsi="Times New Roman" w:cs="Times New Roman"/>
              </w:rPr>
            </w:pPr>
            <w:r w:rsidRPr="00476F62">
              <w:rPr>
                <w:rFonts w:ascii="Times New Roman" w:hAnsi="Times New Roman" w:cs="Times New Roman"/>
              </w:rPr>
              <w:t>ОКПД2-22.19.71.190</w:t>
            </w:r>
          </w:p>
          <w:p w:rsidR="000868CE" w:rsidRPr="00476F62" w:rsidRDefault="000868CE" w:rsidP="008A2453">
            <w:pPr>
              <w:rPr>
                <w:rFonts w:ascii="Times New Roman" w:hAnsi="Times New Roman" w:cs="Times New Roman"/>
              </w:rPr>
            </w:pPr>
            <w:r w:rsidRPr="00476F62">
              <w:rPr>
                <w:rFonts w:ascii="Times New Roman" w:hAnsi="Times New Roman" w:cs="Times New Roman"/>
              </w:rPr>
              <w:t>КТРУ-</w:t>
            </w:r>
          </w:p>
          <w:p w:rsidR="000868CE" w:rsidRPr="00476F62" w:rsidRDefault="000868CE" w:rsidP="008A2453">
            <w:pPr>
              <w:rPr>
                <w:rFonts w:ascii="Times New Roman" w:hAnsi="Times New Roman" w:cs="Times New Roman"/>
              </w:rPr>
            </w:pPr>
            <w:r w:rsidRPr="00476F62">
              <w:rPr>
                <w:rFonts w:ascii="Times New Roman" w:hAnsi="Times New Roman" w:cs="Times New Roman"/>
              </w:rPr>
              <w:t>22.19.71.190-00000006</w:t>
            </w:r>
          </w:p>
        </w:tc>
        <w:tc>
          <w:tcPr>
            <w:tcW w:w="1559"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10-01-01</w:t>
            </w:r>
          </w:p>
          <w:p w:rsidR="000868CE" w:rsidRPr="00476F62" w:rsidRDefault="000868CE" w:rsidP="008A2453">
            <w:pPr>
              <w:rPr>
                <w:rFonts w:ascii="Times New Roman" w:hAnsi="Times New Roman" w:cs="Times New Roman"/>
              </w:rPr>
            </w:pPr>
            <w:r w:rsidRPr="00476F62">
              <w:rPr>
                <w:rFonts w:ascii="Times New Roman" w:hAnsi="Times New Roman" w:cs="Times New Roman"/>
              </w:rPr>
              <w:t>Противо-пролежневый матрац полиуретановый</w:t>
            </w:r>
          </w:p>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Противопролежневый матрац полиуретановый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шт</w:t>
            </w:r>
          </w:p>
        </w:tc>
        <w:tc>
          <w:tcPr>
            <w:tcW w:w="1276"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250</w:t>
            </w:r>
          </w:p>
        </w:tc>
      </w:tr>
      <w:tr w:rsidR="000868CE" w:rsidRPr="00476F62" w:rsidTr="000868CE">
        <w:trPr>
          <w:trHeight w:val="437"/>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Чехол на молнии </w:t>
            </w:r>
          </w:p>
          <w:p w:rsidR="000868CE" w:rsidRPr="00476F62" w:rsidRDefault="000868CE" w:rsidP="008A2453">
            <w:pPr>
              <w:rPr>
                <w:rFonts w:ascii="Times New Roman" w:hAnsi="Times New Roman" w:cs="Times New Roman"/>
              </w:rPr>
            </w:pPr>
          </w:p>
          <w:p w:rsidR="000868CE" w:rsidRPr="00476F62" w:rsidRDefault="000868CE" w:rsidP="008A2453">
            <w:pPr>
              <w:rPr>
                <w:rFonts w:ascii="Times New Roman" w:hAnsi="Times New Roman" w:cs="Times New Roman"/>
              </w:rPr>
            </w:pP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71"/>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p>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Материал чехла </w:t>
            </w:r>
          </w:p>
          <w:p w:rsidR="000868CE" w:rsidRPr="00476F62" w:rsidRDefault="000868CE" w:rsidP="008A2453">
            <w:pPr>
              <w:rPr>
                <w:rFonts w:ascii="Times New Roman" w:hAnsi="Times New Roman" w:cs="Times New Roman"/>
              </w:rPr>
            </w:pPr>
          </w:p>
          <w:p w:rsidR="000868CE" w:rsidRPr="00476F62" w:rsidRDefault="000868CE" w:rsidP="008A2453">
            <w:pPr>
              <w:rPr>
                <w:rFonts w:ascii="Times New Roman" w:hAnsi="Times New Roman" w:cs="Times New Roman"/>
              </w:rPr>
            </w:pP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Непроницаемый, дышащий, эластичный, не впитывает запахи и выдерживает тепловую обработку, устойчивый к машинной и ручной стирке, а также обработке специальными дезинфицирующими средствами.</w:t>
            </w:r>
          </w:p>
          <w:p w:rsidR="000868CE" w:rsidRPr="00476F62" w:rsidRDefault="000868CE" w:rsidP="008A2453">
            <w:pPr>
              <w:rPr>
                <w:rFonts w:ascii="Times New Roman" w:hAnsi="Times New Roman" w:cs="Times New Roman"/>
              </w:rPr>
            </w:pP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71"/>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Материал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пенополиуретан</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71"/>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Наличие на верхней поверхности матраца отдель</w:t>
            </w:r>
            <w:r w:rsidRPr="00476F62">
              <w:rPr>
                <w:rFonts w:ascii="Times New Roman" w:hAnsi="Times New Roman" w:cs="Times New Roman"/>
              </w:rPr>
              <w:softHyphen/>
              <w:t xml:space="preserve">ных </w:t>
            </w:r>
            <w:r w:rsidRPr="00476F62">
              <w:rPr>
                <w:rFonts w:ascii="Times New Roman" w:hAnsi="Times New Roman" w:cs="Times New Roman"/>
              </w:rPr>
              <w:lastRenderedPageBreak/>
              <w:t>ячеек, в которых происходит эффективная вентиляция и осушение влаги, циркуляция воздуха, не позволяющая скопления жидкости</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lastRenderedPageBreak/>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Эффект запоминания формы.</w:t>
            </w:r>
          </w:p>
          <w:p w:rsidR="000868CE" w:rsidRPr="00476F62" w:rsidRDefault="000868CE" w:rsidP="008A2453">
            <w:pPr>
              <w:rPr>
                <w:rFonts w:ascii="Times New Roman" w:hAnsi="Times New Roman" w:cs="Times New Roman"/>
              </w:rPr>
            </w:pP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Длина матраца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не менее 1900 </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мм</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Ширина матраца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не менее 800 </w:t>
            </w:r>
          </w:p>
          <w:p w:rsidR="000868CE" w:rsidRPr="00476F62" w:rsidRDefault="000868CE" w:rsidP="008A2453">
            <w:pPr>
              <w:rPr>
                <w:rFonts w:ascii="Times New Roman" w:hAnsi="Times New Roman" w:cs="Times New Roman"/>
              </w:rPr>
            </w:pP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мм</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Допустимая нагрузка на матрац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не менее 120 </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кг</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Матрас противопролежневый с гелевым наполнителем</w:t>
            </w:r>
          </w:p>
          <w:p w:rsidR="000868CE" w:rsidRPr="00476F62" w:rsidRDefault="000868CE" w:rsidP="008A2453">
            <w:pPr>
              <w:rPr>
                <w:rFonts w:ascii="Times New Roman" w:hAnsi="Times New Roman" w:cs="Times New Roman"/>
              </w:rPr>
            </w:pPr>
            <w:r w:rsidRPr="00476F62">
              <w:rPr>
                <w:rFonts w:ascii="Times New Roman" w:hAnsi="Times New Roman" w:cs="Times New Roman"/>
              </w:rPr>
              <w:t>ОКПД2-22.19.71.190</w:t>
            </w:r>
          </w:p>
          <w:p w:rsidR="000868CE" w:rsidRPr="00476F62" w:rsidRDefault="000868CE" w:rsidP="008A2453">
            <w:pPr>
              <w:rPr>
                <w:rFonts w:ascii="Times New Roman" w:hAnsi="Times New Roman" w:cs="Times New Roman"/>
              </w:rPr>
            </w:pPr>
            <w:r w:rsidRPr="00476F62">
              <w:rPr>
                <w:rFonts w:ascii="Times New Roman" w:hAnsi="Times New Roman" w:cs="Times New Roman"/>
              </w:rPr>
              <w:t>КТРУ-</w:t>
            </w:r>
          </w:p>
          <w:p w:rsidR="000868CE" w:rsidRPr="00476F62" w:rsidRDefault="000868CE" w:rsidP="008A2453">
            <w:pPr>
              <w:rPr>
                <w:rFonts w:ascii="Times New Roman" w:hAnsi="Times New Roman" w:cs="Times New Roman"/>
              </w:rPr>
            </w:pPr>
            <w:r w:rsidRPr="00476F62">
              <w:rPr>
                <w:rFonts w:ascii="Times New Roman" w:hAnsi="Times New Roman" w:cs="Times New Roman"/>
              </w:rPr>
              <w:t>22.19.71.190-00000005</w:t>
            </w:r>
          </w:p>
        </w:tc>
        <w:tc>
          <w:tcPr>
            <w:tcW w:w="1559"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10-01-02</w:t>
            </w:r>
          </w:p>
          <w:p w:rsidR="000868CE" w:rsidRPr="00476F62" w:rsidRDefault="000868CE" w:rsidP="008A2453">
            <w:pPr>
              <w:rPr>
                <w:rFonts w:ascii="Times New Roman" w:hAnsi="Times New Roman" w:cs="Times New Roman"/>
              </w:rPr>
            </w:pPr>
            <w:r w:rsidRPr="00476F62">
              <w:rPr>
                <w:rFonts w:ascii="Times New Roman" w:hAnsi="Times New Roman" w:cs="Times New Roman"/>
              </w:rPr>
              <w:t>Противо-пролежневый матрац гелевый</w:t>
            </w:r>
          </w:p>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Противопролежневый матрац гелевый</w:t>
            </w:r>
          </w:p>
          <w:p w:rsidR="000868CE" w:rsidRPr="00476F62" w:rsidRDefault="000868CE" w:rsidP="008A2453">
            <w:pPr>
              <w:rPr>
                <w:rFonts w:ascii="Times New Roman" w:hAnsi="Times New Roman" w:cs="Times New Roman"/>
              </w:rPr>
            </w:pPr>
          </w:p>
          <w:p w:rsidR="000868CE" w:rsidRPr="00476F62" w:rsidRDefault="000868CE" w:rsidP="008A2453">
            <w:pPr>
              <w:rPr>
                <w:rFonts w:ascii="Times New Roman" w:hAnsi="Times New Roman" w:cs="Times New Roman"/>
              </w:rPr>
            </w:pP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шт.</w:t>
            </w:r>
          </w:p>
        </w:tc>
        <w:tc>
          <w:tcPr>
            <w:tcW w:w="1276" w:type="dxa"/>
            <w:vMerge w:val="restart"/>
          </w:tcPr>
          <w:p w:rsidR="000868CE" w:rsidRPr="00476F62" w:rsidRDefault="000868CE" w:rsidP="008A2453">
            <w:pPr>
              <w:rPr>
                <w:rFonts w:ascii="Times New Roman" w:hAnsi="Times New Roman" w:cs="Times New Roman"/>
              </w:rPr>
            </w:pPr>
            <w:r w:rsidRPr="00476F62">
              <w:rPr>
                <w:rFonts w:ascii="Times New Roman" w:hAnsi="Times New Roman" w:cs="Times New Roman"/>
              </w:rPr>
              <w:t>20</w:t>
            </w: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 Материал </w:t>
            </w:r>
          </w:p>
          <w:p w:rsidR="000868CE" w:rsidRPr="00476F62" w:rsidRDefault="000868CE" w:rsidP="008A2453">
            <w:pPr>
              <w:rPr>
                <w:rFonts w:ascii="Times New Roman" w:hAnsi="Times New Roman" w:cs="Times New Roman"/>
              </w:rPr>
            </w:pP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Водонепроницаемый натуральный латекс, имеет возможность многократной санитарно-гигиенической обработки.</w:t>
            </w:r>
          </w:p>
          <w:p w:rsidR="000868CE" w:rsidRPr="00476F62" w:rsidRDefault="000868CE" w:rsidP="008A2453">
            <w:pPr>
              <w:rPr>
                <w:rFonts w:ascii="Times New Roman" w:hAnsi="Times New Roman" w:cs="Times New Roman"/>
              </w:rPr>
            </w:pP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Наличие противопролежневого эффекта достигаемого путем равномерного распределения давления на участки </w:t>
            </w:r>
            <w:r w:rsidRPr="00476F62">
              <w:rPr>
                <w:rFonts w:ascii="Times New Roman" w:hAnsi="Times New Roman" w:cs="Times New Roman"/>
              </w:rPr>
              <w:lastRenderedPageBreak/>
              <w:t xml:space="preserve">соприкасающегося тела за счет специальных заполненных гелевым составом элементов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lastRenderedPageBreak/>
              <w:t>да</w:t>
            </w:r>
          </w:p>
        </w:tc>
        <w:tc>
          <w:tcPr>
            <w:tcW w:w="1276" w:type="dxa"/>
          </w:tcPr>
          <w:p w:rsidR="000868CE" w:rsidRPr="00476F62" w:rsidRDefault="000868CE" w:rsidP="008A2453">
            <w:pPr>
              <w:rPr>
                <w:rFonts w:ascii="Times New Roman" w:hAnsi="Times New Roman" w:cs="Times New Roman"/>
              </w:rPr>
            </w:pPr>
            <w:r>
              <w:rPr>
                <w:rFonts w:ascii="Times New Roman" w:hAnsi="Times New Roman" w:cs="Times New Roman"/>
              </w:rPr>
              <w:t>-</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Длина матраца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 не менее 1950 </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мм</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166"/>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Ширина матраца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не менее 850 </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мм</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0868CE">
        <w:trPr>
          <w:trHeight w:val="738"/>
        </w:trPr>
        <w:tc>
          <w:tcPr>
            <w:tcW w:w="1560" w:type="dxa"/>
            <w:vMerge/>
          </w:tcPr>
          <w:p w:rsidR="000868CE" w:rsidRPr="00476F62" w:rsidRDefault="000868CE" w:rsidP="008A2453">
            <w:pPr>
              <w:rPr>
                <w:rFonts w:ascii="Times New Roman" w:hAnsi="Times New Roman" w:cs="Times New Roman"/>
              </w:rPr>
            </w:pPr>
          </w:p>
        </w:tc>
        <w:tc>
          <w:tcPr>
            <w:tcW w:w="1559" w:type="dxa"/>
            <w:vMerge/>
          </w:tcPr>
          <w:p w:rsidR="000868CE" w:rsidRPr="00476F62" w:rsidRDefault="000868CE" w:rsidP="008A2453">
            <w:pPr>
              <w:rPr>
                <w:rFonts w:ascii="Times New Roman" w:hAnsi="Times New Roman" w:cs="Times New Roman"/>
              </w:rPr>
            </w:pPr>
          </w:p>
        </w:tc>
        <w:tc>
          <w:tcPr>
            <w:tcW w:w="1701"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Допустимая нагрузка на матрац </w:t>
            </w:r>
          </w:p>
        </w:tc>
        <w:tc>
          <w:tcPr>
            <w:tcW w:w="1843"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 xml:space="preserve"> не менее 120 </w:t>
            </w:r>
          </w:p>
          <w:p w:rsidR="000868CE" w:rsidRPr="00476F62" w:rsidRDefault="000868CE" w:rsidP="008A2453">
            <w:pPr>
              <w:rPr>
                <w:rFonts w:ascii="Times New Roman" w:hAnsi="Times New Roman" w:cs="Times New Roman"/>
              </w:rPr>
            </w:pP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кг</w:t>
            </w:r>
          </w:p>
        </w:tc>
        <w:tc>
          <w:tcPr>
            <w:tcW w:w="850" w:type="dxa"/>
            <w:vMerge/>
          </w:tcPr>
          <w:p w:rsidR="000868CE" w:rsidRPr="00476F62" w:rsidRDefault="000868CE" w:rsidP="008A2453">
            <w:pPr>
              <w:rPr>
                <w:rFonts w:ascii="Times New Roman" w:hAnsi="Times New Roman" w:cs="Times New Roman"/>
              </w:rPr>
            </w:pPr>
          </w:p>
        </w:tc>
        <w:tc>
          <w:tcPr>
            <w:tcW w:w="1276" w:type="dxa"/>
            <w:vMerge/>
          </w:tcPr>
          <w:p w:rsidR="000868CE" w:rsidRPr="00476F62" w:rsidRDefault="000868CE" w:rsidP="008A2453">
            <w:pPr>
              <w:rPr>
                <w:rFonts w:ascii="Times New Roman" w:hAnsi="Times New Roman" w:cs="Times New Roman"/>
              </w:rPr>
            </w:pPr>
          </w:p>
        </w:tc>
      </w:tr>
      <w:tr w:rsidR="000868CE" w:rsidRPr="00476F62" w:rsidTr="008B6416">
        <w:trPr>
          <w:trHeight w:val="166"/>
        </w:trPr>
        <w:tc>
          <w:tcPr>
            <w:tcW w:w="8789" w:type="dxa"/>
            <w:gridSpan w:val="6"/>
          </w:tcPr>
          <w:p w:rsidR="000868CE" w:rsidRPr="00476F62" w:rsidRDefault="000868CE" w:rsidP="008A2453">
            <w:pPr>
              <w:rPr>
                <w:rFonts w:ascii="Times New Roman" w:hAnsi="Times New Roman" w:cs="Times New Roman"/>
              </w:rPr>
            </w:pPr>
            <w:r w:rsidRPr="00476F62">
              <w:rPr>
                <w:rFonts w:ascii="Times New Roman" w:hAnsi="Times New Roman" w:cs="Times New Roman"/>
              </w:rPr>
              <w:t>Итого</w:t>
            </w:r>
          </w:p>
        </w:tc>
        <w:tc>
          <w:tcPr>
            <w:tcW w:w="1276" w:type="dxa"/>
          </w:tcPr>
          <w:p w:rsidR="000868CE" w:rsidRPr="00476F62" w:rsidRDefault="000868CE" w:rsidP="008A2453">
            <w:pPr>
              <w:rPr>
                <w:rFonts w:ascii="Times New Roman" w:hAnsi="Times New Roman" w:cs="Times New Roman"/>
              </w:rPr>
            </w:pPr>
            <w:r w:rsidRPr="00476F62">
              <w:rPr>
                <w:rFonts w:ascii="Times New Roman" w:hAnsi="Times New Roman" w:cs="Times New Roman"/>
              </w:rPr>
              <w:t>270</w:t>
            </w:r>
          </w:p>
        </w:tc>
      </w:tr>
    </w:tbl>
    <w:p w:rsidR="008A2453" w:rsidRPr="00476F62" w:rsidRDefault="008A2453" w:rsidP="008A2453">
      <w:pPr>
        <w:rPr>
          <w:rFonts w:ascii="Times New Roman" w:hAnsi="Times New Roman" w:cs="Times New Roman"/>
        </w:rPr>
      </w:pPr>
    </w:p>
    <w:p w:rsidR="00656B7B" w:rsidRPr="00476F62" w:rsidRDefault="00656B7B" w:rsidP="008A2453">
      <w:pPr>
        <w:ind w:left="-709"/>
        <w:jc w:val="both"/>
        <w:rPr>
          <w:rFonts w:ascii="Times New Roman" w:hAnsi="Times New Roman" w:cs="Times New Roman"/>
        </w:rPr>
      </w:pPr>
      <w:r w:rsidRPr="00476F62">
        <w:rPr>
          <w:rFonts w:ascii="Times New Roman" w:hAnsi="Times New Roman" w:cs="Times New Roman"/>
        </w:rPr>
        <w:t>Товар должен иметь маркировку средствами идентификации в соответствии с Постановле</w:t>
      </w:r>
      <w:bookmarkStart w:id="0" w:name="_GoBack"/>
      <w:bookmarkEnd w:id="0"/>
      <w:r w:rsidRPr="00476F62">
        <w:rPr>
          <w:rFonts w:ascii="Times New Roman" w:hAnsi="Times New Roman" w:cs="Times New Roman"/>
        </w:rPr>
        <w:t>нием Правительства Российской Федерации от 31 мая 2024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в отношении отдельных видов технических средств реабилитации».</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Противопролежневые матрацы должны соответствовать требованиям Государственного стандарта Российской Федерации ГОСТ Р 70056-2022 «Национальный стандарт Российской Федерации. Матрацы и подушки противопролежневые. Общие технические условия». ГОСТ Р 57769-2021. «Национальный стандарт Российской Федерации. Матрацы и подушки противопролежневые. Типы и основные параметры.»</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xml:space="preserve">  Гарантийный срок Товара составляет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10рабочих дней со дня обращения Получателя (Заказчика).</w:t>
      </w:r>
    </w:p>
    <w:p w:rsidR="008A2453" w:rsidRPr="00476F62" w:rsidRDefault="008A2453" w:rsidP="008A2453">
      <w:pPr>
        <w:ind w:left="-709"/>
        <w:jc w:val="both"/>
        <w:rPr>
          <w:rFonts w:ascii="Times New Roman" w:hAnsi="Times New Roman" w:cs="Times New Roman"/>
        </w:rPr>
      </w:pP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Дополнительные условия</w:t>
      </w:r>
      <w:r w:rsidR="00DF0330" w:rsidRPr="00476F62">
        <w:rPr>
          <w:rFonts w:ascii="Times New Roman" w:hAnsi="Times New Roman" w:cs="Times New Roman"/>
        </w:rPr>
        <w:t>:</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lastRenderedPageBreak/>
        <w:t xml:space="preserve">Наличие действующих регистрационных удостоверений, выданных Федеральной службой по надзору в сфере здравоохранения обязательно. </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Срок поставки Товара: Товар поставляется в полном объеме в Курскую область, в соответствии с календарным планом не позднее 09 января 2025 года.</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Срок поставки товара Получателям: с даты получения от Заказчика реестров получателей товара, но не ранее 09 января 2025 года по 30 июня 2025 года. Поставка товара получателям не должна превышать 20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Поставка товара Получателям будет осуществляться по этапам:</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1 этап: с 01 января 2025 года по 31 марта 2025 года:</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10-01-01 Противопролежневый матрац полиуретановый-150 шт.</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10-01-02Противопролежневый матрац гелевый-10 шт.</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xml:space="preserve"> 2 этап: с 01 февраля 2025 года по 30 июня 2025 года:</w:t>
      </w:r>
    </w:p>
    <w:p w:rsidR="008A2453" w:rsidRPr="00476F62" w:rsidRDefault="00DF0330" w:rsidP="008A2453">
      <w:pPr>
        <w:ind w:left="-709"/>
        <w:jc w:val="both"/>
        <w:rPr>
          <w:rFonts w:ascii="Times New Roman" w:hAnsi="Times New Roman" w:cs="Times New Roman"/>
        </w:rPr>
      </w:pPr>
      <w:r w:rsidRPr="00476F62">
        <w:rPr>
          <w:rFonts w:ascii="Times New Roman" w:hAnsi="Times New Roman" w:cs="Times New Roman"/>
        </w:rPr>
        <w:t xml:space="preserve"> </w:t>
      </w:r>
      <w:r w:rsidR="008A2453" w:rsidRPr="00476F62">
        <w:rPr>
          <w:rFonts w:ascii="Times New Roman" w:hAnsi="Times New Roman" w:cs="Times New Roman"/>
        </w:rPr>
        <w:t>10-01-01 Противопролежневый матрац полиуретановый-100 шт.</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10-01-02</w:t>
      </w:r>
      <w:r w:rsidR="00DF0330" w:rsidRPr="00476F62">
        <w:rPr>
          <w:rFonts w:ascii="Times New Roman" w:hAnsi="Times New Roman" w:cs="Times New Roman"/>
        </w:rPr>
        <w:t xml:space="preserve"> </w:t>
      </w:r>
      <w:r w:rsidRPr="00476F62">
        <w:rPr>
          <w:rFonts w:ascii="Times New Roman" w:hAnsi="Times New Roman" w:cs="Times New Roman"/>
        </w:rPr>
        <w:t>Противопролежневый матрац гелевый-10 шт.</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xml:space="preserve">Место получения товара: </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8A2453" w:rsidRPr="00476F62" w:rsidRDefault="008A2453" w:rsidP="008A2453">
      <w:pPr>
        <w:ind w:left="-709"/>
        <w:jc w:val="both"/>
        <w:rPr>
          <w:rFonts w:ascii="Times New Roman" w:hAnsi="Times New Roman" w:cs="Times New Roman"/>
        </w:rPr>
      </w:pPr>
      <w:r w:rsidRPr="00476F62">
        <w:rPr>
          <w:rFonts w:ascii="Times New Roman" w:hAnsi="Times New Roman" w:cs="Times New Roman"/>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54C59" w:rsidRPr="00476F62" w:rsidRDefault="00B54C59" w:rsidP="008A2453">
      <w:pPr>
        <w:ind w:left="-709"/>
        <w:jc w:val="both"/>
        <w:rPr>
          <w:rFonts w:ascii="Times New Roman" w:hAnsi="Times New Roman" w:cs="Times New Roman"/>
        </w:rPr>
      </w:pPr>
    </w:p>
    <w:sectPr w:rsidR="00B54C59" w:rsidRPr="00476F62" w:rsidSect="00632710">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3E" w:rsidRDefault="0006393E" w:rsidP="009026C3">
      <w:pPr>
        <w:spacing w:after="0" w:line="240" w:lineRule="auto"/>
      </w:pPr>
      <w:r>
        <w:separator/>
      </w:r>
    </w:p>
  </w:endnote>
  <w:endnote w:type="continuationSeparator" w:id="0">
    <w:p w:rsidR="0006393E" w:rsidRDefault="0006393E" w:rsidP="0090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3E" w:rsidRDefault="0006393E" w:rsidP="009026C3">
      <w:pPr>
        <w:spacing w:after="0" w:line="240" w:lineRule="auto"/>
      </w:pPr>
      <w:r>
        <w:separator/>
      </w:r>
    </w:p>
  </w:footnote>
  <w:footnote w:type="continuationSeparator" w:id="0">
    <w:p w:rsidR="0006393E" w:rsidRDefault="0006393E" w:rsidP="00902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309"/>
    <w:multiLevelType w:val="singleLevel"/>
    <w:tmpl w:val="83086D16"/>
    <w:lvl w:ilvl="0">
      <w:start w:val="4"/>
      <w:numFmt w:val="decimal"/>
      <w:lvlText w:val="9.%1."/>
      <w:legacy w:legacy="1" w:legacySpace="0" w:legacyIndent="538"/>
      <w:lvlJc w:val="left"/>
      <w:rPr>
        <w:rFonts w:ascii="Times New Roman" w:hAnsi="Times New Roman" w:cs="Times New Roman" w:hint="default"/>
      </w:rPr>
    </w:lvl>
  </w:abstractNum>
  <w:abstractNum w:abstractNumId="1" w15:restartNumberingAfterBreak="0">
    <w:nsid w:val="15871DB8"/>
    <w:multiLevelType w:val="multilevel"/>
    <w:tmpl w:val="830E4F1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184330"/>
    <w:multiLevelType w:val="hybridMultilevel"/>
    <w:tmpl w:val="A8B4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6393E"/>
    <w:rsid w:val="000868CE"/>
    <w:rsid w:val="001444EF"/>
    <w:rsid w:val="0015030C"/>
    <w:rsid w:val="00157307"/>
    <w:rsid w:val="001F7EB9"/>
    <w:rsid w:val="0023451B"/>
    <w:rsid w:val="003529CF"/>
    <w:rsid w:val="003A382E"/>
    <w:rsid w:val="004372D5"/>
    <w:rsid w:val="00456B57"/>
    <w:rsid w:val="00476F62"/>
    <w:rsid w:val="0048143D"/>
    <w:rsid w:val="00552161"/>
    <w:rsid w:val="00572803"/>
    <w:rsid w:val="005B7CBE"/>
    <w:rsid w:val="00632710"/>
    <w:rsid w:val="00641889"/>
    <w:rsid w:val="00656B7B"/>
    <w:rsid w:val="006D2E03"/>
    <w:rsid w:val="00763257"/>
    <w:rsid w:val="007E33B0"/>
    <w:rsid w:val="0081343A"/>
    <w:rsid w:val="008369F1"/>
    <w:rsid w:val="008A09D6"/>
    <w:rsid w:val="008A2453"/>
    <w:rsid w:val="009026C3"/>
    <w:rsid w:val="0092266D"/>
    <w:rsid w:val="00936A65"/>
    <w:rsid w:val="00962611"/>
    <w:rsid w:val="00A05148"/>
    <w:rsid w:val="00A5420F"/>
    <w:rsid w:val="00B016CF"/>
    <w:rsid w:val="00B2588F"/>
    <w:rsid w:val="00B54C59"/>
    <w:rsid w:val="00B5713E"/>
    <w:rsid w:val="00B70E03"/>
    <w:rsid w:val="00BA5ECF"/>
    <w:rsid w:val="00BB7A49"/>
    <w:rsid w:val="00C3029D"/>
    <w:rsid w:val="00C53A54"/>
    <w:rsid w:val="00C961F2"/>
    <w:rsid w:val="00D110E6"/>
    <w:rsid w:val="00D5793C"/>
    <w:rsid w:val="00DF0330"/>
    <w:rsid w:val="00DF4188"/>
    <w:rsid w:val="00E32038"/>
    <w:rsid w:val="00E37ED2"/>
    <w:rsid w:val="00ED13CC"/>
    <w:rsid w:val="00F26810"/>
    <w:rsid w:val="00F31742"/>
    <w:rsid w:val="00F91B47"/>
    <w:rsid w:val="00F9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E33B0"/>
    <w:pPr>
      <w:keepNext/>
      <w:numPr>
        <w:numId w:val="2"/>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33B0"/>
    <w:rPr>
      <w:rFonts w:ascii="Times New Roman" w:eastAsia="Times New Roman" w:hAnsi="Times New Roman" w:cs="Times New Roman"/>
      <w:sz w:val="28"/>
      <w:szCs w:val="20"/>
      <w:lang w:eastAsia="ar-SA"/>
    </w:rPr>
  </w:style>
  <w:style w:type="paragraph" w:styleId="a3">
    <w:name w:val="Body Text"/>
    <w:basedOn w:val="a"/>
    <w:link w:val="a4"/>
    <w:rsid w:val="00B5713E"/>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B5713E"/>
    <w:rPr>
      <w:rFonts w:ascii="Times New Roman" w:eastAsia="Times New Roman" w:hAnsi="Times New Roman" w:cs="Times New Roman"/>
      <w:sz w:val="20"/>
      <w:szCs w:val="20"/>
      <w:lang w:eastAsia="ru-RU"/>
    </w:rPr>
  </w:style>
  <w:style w:type="table" w:styleId="a5">
    <w:name w:val="Table Grid"/>
    <w:basedOn w:val="a1"/>
    <w:uiPriority w:val="39"/>
    <w:rsid w:val="004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F4188"/>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FontStyle92">
    <w:name w:val="Font Style92"/>
    <w:uiPriority w:val="99"/>
    <w:rsid w:val="00DF418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2141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О.Н</dc:creator>
  <cp:keywords/>
  <dc:description/>
  <cp:lastModifiedBy>Барбашова Оксана Николаевна</cp:lastModifiedBy>
  <cp:revision>27</cp:revision>
  <dcterms:created xsi:type="dcterms:W3CDTF">2023-09-08T16:06:00Z</dcterms:created>
  <dcterms:modified xsi:type="dcterms:W3CDTF">2024-10-28T09:27:00Z</dcterms:modified>
</cp:coreProperties>
</file>