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78" w:rsidRPr="00A60E78" w:rsidRDefault="00A60E78" w:rsidP="00A60E78">
      <w:pPr>
        <w:suppressAutoHyphens w:val="0"/>
        <w:ind w:firstLine="567"/>
        <w:jc w:val="right"/>
        <w:rPr>
          <w:lang w:eastAsia="ru-RU"/>
        </w:rPr>
      </w:pPr>
      <w:r w:rsidRPr="00A60E78">
        <w:rPr>
          <w:lang w:eastAsia="ru-RU"/>
        </w:rPr>
        <w:t xml:space="preserve">Приложение № 1 к извещению </w:t>
      </w:r>
    </w:p>
    <w:p w:rsidR="00A60E78" w:rsidRPr="00A60E78" w:rsidRDefault="00A60E78" w:rsidP="00A60E78">
      <w:pPr>
        <w:suppressAutoHyphens w:val="0"/>
        <w:ind w:firstLine="567"/>
        <w:jc w:val="right"/>
        <w:rPr>
          <w:lang w:eastAsia="ru-RU"/>
        </w:rPr>
      </w:pPr>
      <w:r w:rsidRPr="00A60E78">
        <w:rPr>
          <w:lang w:eastAsia="ru-RU"/>
        </w:rPr>
        <w:t>об осуществлении закупки</w:t>
      </w:r>
    </w:p>
    <w:p w:rsidR="00A60E78" w:rsidRPr="00A60E78" w:rsidRDefault="00A60E78" w:rsidP="00A60E78">
      <w:pPr>
        <w:suppressAutoHyphens w:val="0"/>
        <w:ind w:firstLine="567"/>
        <w:jc w:val="center"/>
        <w:rPr>
          <w:b/>
          <w:lang w:eastAsia="ru-RU"/>
        </w:rPr>
      </w:pPr>
    </w:p>
    <w:p w:rsidR="00A60E78" w:rsidRDefault="00A60E78" w:rsidP="00A60E78">
      <w:pPr>
        <w:jc w:val="center"/>
        <w:rPr>
          <w:b/>
          <w:spacing w:val="-10"/>
          <w:lang w:val="en-US"/>
        </w:rPr>
      </w:pPr>
      <w:r w:rsidRPr="00A60E78">
        <w:rPr>
          <w:b/>
          <w:lang w:eastAsia="ru-RU"/>
        </w:rPr>
        <w:t>Описание объекта закупки</w:t>
      </w:r>
      <w:r w:rsidRPr="006A3C14">
        <w:rPr>
          <w:b/>
          <w:spacing w:val="-10"/>
        </w:rPr>
        <w:t xml:space="preserve"> </w:t>
      </w:r>
    </w:p>
    <w:p w:rsidR="007D4E19" w:rsidRPr="006A3C14" w:rsidRDefault="007D4E19" w:rsidP="00A60E78">
      <w:pPr>
        <w:jc w:val="center"/>
        <w:rPr>
          <w:b/>
          <w:spacing w:val="-10"/>
        </w:rPr>
      </w:pPr>
      <w:bookmarkStart w:id="0" w:name="_GoBack"/>
      <w:bookmarkEnd w:id="0"/>
      <w:r w:rsidRPr="006A3C14">
        <w:rPr>
          <w:b/>
          <w:spacing w:val="-10"/>
        </w:rPr>
        <w:t>Технические требования</w:t>
      </w:r>
    </w:p>
    <w:p w:rsidR="007D4E19" w:rsidRPr="006233D3" w:rsidRDefault="007D4E19" w:rsidP="007D4E19">
      <w:pPr>
        <w:pStyle w:val="ac"/>
        <w:ind w:firstLine="567"/>
        <w:jc w:val="both"/>
        <w:rPr>
          <w:sz w:val="25"/>
          <w:szCs w:val="25"/>
        </w:rPr>
      </w:pPr>
      <w:r w:rsidRPr="006233D3">
        <w:rPr>
          <w:sz w:val="25"/>
          <w:szCs w:val="25"/>
        </w:rPr>
        <w:t xml:space="preserve">Выполнение работ по обеспечению </w:t>
      </w:r>
      <w:r w:rsidRPr="002A709A">
        <w:rPr>
          <w:sz w:val="25"/>
          <w:szCs w:val="25"/>
        </w:rPr>
        <w:t>гражданина</w:t>
      </w:r>
      <w:r w:rsidRPr="006233D3">
        <w:rPr>
          <w:sz w:val="25"/>
          <w:szCs w:val="25"/>
        </w:rPr>
        <w:t xml:space="preserve"> протезом </w:t>
      </w:r>
      <w:r>
        <w:rPr>
          <w:sz w:val="25"/>
          <w:szCs w:val="25"/>
        </w:rPr>
        <w:t>предплечья</w:t>
      </w:r>
      <w:r w:rsidRPr="006233D3">
        <w:rPr>
          <w:sz w:val="25"/>
          <w:szCs w:val="25"/>
        </w:rPr>
        <w:t xml:space="preserve"> с микропроцессорным управлением.</w:t>
      </w:r>
    </w:p>
    <w:p w:rsidR="007D4E19" w:rsidRPr="00311B6E" w:rsidRDefault="007D4E19" w:rsidP="007D4E19">
      <w:pPr>
        <w:shd w:val="clear" w:color="auto" w:fill="FFFFFF"/>
        <w:ind w:firstLine="567"/>
        <w:jc w:val="both"/>
        <w:rPr>
          <w:sz w:val="25"/>
          <w:szCs w:val="25"/>
        </w:rPr>
      </w:pPr>
      <w:r w:rsidRPr="00311B6E">
        <w:rPr>
          <w:sz w:val="25"/>
          <w:szCs w:val="25"/>
        </w:rPr>
        <w:t xml:space="preserve">В соответствии </w:t>
      </w:r>
      <w:r w:rsidRPr="00311B6E">
        <w:rPr>
          <w:sz w:val="25"/>
          <w:szCs w:val="25"/>
          <w:lang w:val="en-US"/>
        </w:rPr>
        <w:t>c</w:t>
      </w:r>
      <w:r w:rsidRPr="00311B6E">
        <w:rPr>
          <w:sz w:val="25"/>
          <w:szCs w:val="25"/>
        </w:rPr>
        <w:t xml:space="preserve"> Национальным стандартом Российской Федерации ГОСТ </w:t>
      </w:r>
      <w:proofErr w:type="gramStart"/>
      <w:r w:rsidRPr="00311B6E">
        <w:rPr>
          <w:sz w:val="25"/>
          <w:szCs w:val="25"/>
        </w:rPr>
        <w:t>Р</w:t>
      </w:r>
      <w:proofErr w:type="gramEnd"/>
      <w:r w:rsidRPr="00311B6E">
        <w:rPr>
          <w:sz w:val="25"/>
          <w:szCs w:val="25"/>
        </w:rPr>
        <w:t xml:space="preserve"> ИСО 9999-2019 «Вспомогательные средства для людей с ограничениями жизнедеятельности. Классификация и терминология» протез предплечья – устройство, которое замещает часть верхней конечности между лучезапястным и локтевым суставами после ампутации или в случае отсутствия конечности при врожденной аномалии развития (п.06 18 09).</w:t>
      </w:r>
    </w:p>
    <w:p w:rsidR="003311CF" w:rsidRPr="00311B6E" w:rsidRDefault="003311CF" w:rsidP="00AB7631">
      <w:pPr>
        <w:shd w:val="clear" w:color="auto" w:fill="FFFFFF"/>
        <w:tabs>
          <w:tab w:val="left" w:pos="7176"/>
        </w:tabs>
        <w:ind w:firstLine="567"/>
        <w:jc w:val="both"/>
        <w:rPr>
          <w:sz w:val="25"/>
          <w:szCs w:val="25"/>
        </w:rPr>
      </w:pPr>
      <w:r w:rsidRPr="00311B6E">
        <w:rPr>
          <w:sz w:val="25"/>
          <w:szCs w:val="25"/>
        </w:rPr>
        <w:t>Протез предплечья должен соответствовать требованиям Национальных стандартов:</w:t>
      </w:r>
    </w:p>
    <w:p w:rsidR="003311CF" w:rsidRPr="00311B6E" w:rsidRDefault="003311CF" w:rsidP="00AB7631">
      <w:pPr>
        <w:shd w:val="clear" w:color="auto" w:fill="FFFFFF"/>
        <w:tabs>
          <w:tab w:val="left" w:pos="7176"/>
        </w:tabs>
        <w:ind w:firstLine="567"/>
        <w:jc w:val="both"/>
        <w:rPr>
          <w:sz w:val="25"/>
          <w:szCs w:val="25"/>
        </w:rPr>
      </w:pPr>
      <w:r w:rsidRPr="00311B6E">
        <w:rPr>
          <w:sz w:val="25"/>
          <w:szCs w:val="25"/>
        </w:rPr>
        <w:t xml:space="preserve">- ГОСТ </w:t>
      </w:r>
      <w:proofErr w:type="gramStart"/>
      <w:r w:rsidRPr="00311B6E">
        <w:rPr>
          <w:sz w:val="25"/>
          <w:szCs w:val="25"/>
        </w:rPr>
        <w:t>Р</w:t>
      </w:r>
      <w:proofErr w:type="gramEnd"/>
      <w:r w:rsidRPr="00311B6E">
        <w:rPr>
          <w:sz w:val="25"/>
          <w:szCs w:val="25"/>
        </w:rPr>
        <w:t xml:space="preserve"> 59226-2020 «Протезы верхних конечностей с внешним источником энергии. Общие технические требования»</w:t>
      </w:r>
      <w:r w:rsidRPr="003311C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(далее </w:t>
      </w:r>
      <w:r w:rsidRPr="00311B6E">
        <w:rPr>
          <w:sz w:val="25"/>
          <w:szCs w:val="25"/>
        </w:rPr>
        <w:t xml:space="preserve">ГОСТ </w:t>
      </w:r>
      <w:proofErr w:type="gramStart"/>
      <w:r w:rsidRPr="00311B6E">
        <w:rPr>
          <w:sz w:val="25"/>
          <w:szCs w:val="25"/>
        </w:rPr>
        <w:t>Р</w:t>
      </w:r>
      <w:proofErr w:type="gramEnd"/>
      <w:r w:rsidRPr="00311B6E">
        <w:rPr>
          <w:sz w:val="25"/>
          <w:szCs w:val="25"/>
        </w:rPr>
        <w:t xml:space="preserve"> 59226-2020</w:t>
      </w:r>
      <w:r>
        <w:rPr>
          <w:sz w:val="25"/>
          <w:szCs w:val="25"/>
        </w:rPr>
        <w:t>)</w:t>
      </w:r>
      <w:r w:rsidRPr="00311B6E">
        <w:rPr>
          <w:sz w:val="25"/>
          <w:szCs w:val="25"/>
        </w:rPr>
        <w:t>;</w:t>
      </w:r>
    </w:p>
    <w:p w:rsidR="003311CF" w:rsidRPr="00311B6E" w:rsidRDefault="003311CF" w:rsidP="00AB7631">
      <w:pPr>
        <w:shd w:val="clear" w:color="auto" w:fill="FFFFFF"/>
        <w:tabs>
          <w:tab w:val="left" w:pos="7176"/>
        </w:tabs>
        <w:ind w:firstLine="567"/>
        <w:jc w:val="both"/>
        <w:rPr>
          <w:sz w:val="25"/>
          <w:szCs w:val="25"/>
        </w:rPr>
      </w:pPr>
      <w:r w:rsidRPr="00311B6E">
        <w:rPr>
          <w:sz w:val="25"/>
          <w:szCs w:val="25"/>
        </w:rPr>
        <w:t xml:space="preserve">- ГОСТ </w:t>
      </w:r>
      <w:proofErr w:type="gramStart"/>
      <w:r w:rsidRPr="00311B6E">
        <w:rPr>
          <w:sz w:val="25"/>
          <w:szCs w:val="25"/>
        </w:rPr>
        <w:t>Р</w:t>
      </w:r>
      <w:proofErr w:type="gramEnd"/>
      <w:r w:rsidRPr="00311B6E">
        <w:rPr>
          <w:sz w:val="25"/>
          <w:szCs w:val="25"/>
        </w:rPr>
        <w:t xml:space="preserve"> 56138-2021 «Протезы верхних конечностей. Технические требования».</w:t>
      </w:r>
    </w:p>
    <w:p w:rsidR="003311CF" w:rsidRPr="00311B6E" w:rsidRDefault="003311CF" w:rsidP="00AB7631">
      <w:pPr>
        <w:shd w:val="clear" w:color="auto" w:fill="FFFFFF"/>
        <w:tabs>
          <w:tab w:val="left" w:pos="7176"/>
        </w:tabs>
        <w:ind w:firstLine="567"/>
        <w:jc w:val="both"/>
        <w:rPr>
          <w:sz w:val="25"/>
          <w:szCs w:val="25"/>
        </w:rPr>
      </w:pPr>
      <w:r w:rsidRPr="00311B6E">
        <w:rPr>
          <w:sz w:val="25"/>
          <w:szCs w:val="25"/>
        </w:rPr>
        <w:t xml:space="preserve">В соответствии с п. 5.1. ГОСТ </w:t>
      </w:r>
      <w:proofErr w:type="gramStart"/>
      <w:r w:rsidRPr="00311B6E">
        <w:rPr>
          <w:sz w:val="25"/>
          <w:szCs w:val="25"/>
        </w:rPr>
        <w:t>Р</w:t>
      </w:r>
      <w:proofErr w:type="gramEnd"/>
      <w:r w:rsidRPr="00311B6E">
        <w:rPr>
          <w:sz w:val="25"/>
          <w:szCs w:val="25"/>
        </w:rPr>
        <w:t xml:space="preserve"> 59226-2020 протез должен быть собран из узлов.</w:t>
      </w:r>
    </w:p>
    <w:p w:rsidR="003311CF" w:rsidRPr="00311B6E" w:rsidRDefault="003311CF" w:rsidP="003311CF">
      <w:pPr>
        <w:pStyle w:val="a3"/>
        <w:ind w:firstLine="567"/>
        <w:jc w:val="both"/>
        <w:rPr>
          <w:sz w:val="25"/>
          <w:szCs w:val="25"/>
        </w:rPr>
      </w:pPr>
      <w:r w:rsidRPr="00311B6E">
        <w:rPr>
          <w:sz w:val="25"/>
          <w:szCs w:val="25"/>
        </w:rPr>
        <w:t>Работы должны включать в себя обеспечение протезом предплечья с микропроцессорным управлением со следующими характеристиками.</w:t>
      </w:r>
    </w:p>
    <w:tbl>
      <w:tblPr>
        <w:tblStyle w:val="ad"/>
        <w:tblW w:w="9067" w:type="dxa"/>
        <w:tblLayout w:type="fixed"/>
        <w:tblLook w:val="04A0" w:firstRow="1" w:lastRow="0" w:firstColumn="1" w:lastColumn="0" w:noHBand="0" w:noVBand="1"/>
      </w:tblPr>
      <w:tblGrid>
        <w:gridCol w:w="558"/>
        <w:gridCol w:w="1564"/>
        <w:gridCol w:w="4394"/>
        <w:gridCol w:w="1559"/>
        <w:gridCol w:w="992"/>
      </w:tblGrid>
      <w:tr w:rsidR="007D4E19" w:rsidRPr="007B156C" w:rsidTr="00053360">
        <w:tc>
          <w:tcPr>
            <w:tcW w:w="558" w:type="dxa"/>
          </w:tcPr>
          <w:p w:rsidR="007D4E19" w:rsidRPr="00F57181" w:rsidRDefault="007D4E19" w:rsidP="0005336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F5718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57181">
              <w:rPr>
                <w:b/>
                <w:sz w:val="22"/>
                <w:szCs w:val="22"/>
              </w:rPr>
              <w:t>п</w:t>
            </w:r>
            <w:proofErr w:type="gramEnd"/>
            <w:r w:rsidRPr="00F5718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64" w:type="dxa"/>
          </w:tcPr>
          <w:p w:rsidR="007D4E19" w:rsidRPr="00F57181" w:rsidRDefault="007D4E19" w:rsidP="0005336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9B6206">
              <w:rPr>
                <w:b/>
                <w:sz w:val="22"/>
                <w:szCs w:val="22"/>
              </w:rPr>
              <w:t>Номер вида технического средства реабилитации (изделия) (Приказ от 13 февраля 2018 г. № 86н)</w:t>
            </w:r>
          </w:p>
        </w:tc>
        <w:tc>
          <w:tcPr>
            <w:tcW w:w="4394" w:type="dxa"/>
          </w:tcPr>
          <w:p w:rsidR="007D4E19" w:rsidRPr="00F57181" w:rsidRDefault="007D4E19" w:rsidP="00053360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559" w:type="dxa"/>
          </w:tcPr>
          <w:p w:rsidR="007D4E19" w:rsidRPr="00F57181" w:rsidRDefault="007D4E19" w:rsidP="0005336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  <w:r w:rsidRPr="009B6206">
              <w:rPr>
                <w:b/>
                <w:sz w:val="22"/>
                <w:szCs w:val="22"/>
              </w:rPr>
              <w:t xml:space="preserve"> КТРУ, код КТРУ/ ОКПД</w:t>
            </w:r>
            <w:proofErr w:type="gramStart"/>
            <w:r w:rsidRPr="009B6206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</w:tcPr>
          <w:p w:rsidR="007D4E19" w:rsidRPr="00F57181" w:rsidRDefault="007D4E19" w:rsidP="0005336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B6206">
              <w:rPr>
                <w:rFonts w:eastAsia="Arial Unicode MS"/>
                <w:b/>
                <w:sz w:val="22"/>
                <w:szCs w:val="22"/>
              </w:rPr>
              <w:t>Кол-во,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(</w:t>
            </w:r>
            <w:r w:rsidRPr="009B6206">
              <w:rPr>
                <w:rFonts w:eastAsia="Arial Unicode MS"/>
                <w:b/>
                <w:sz w:val="22"/>
                <w:szCs w:val="22"/>
              </w:rPr>
              <w:t>шт.</w:t>
            </w:r>
            <w:r>
              <w:rPr>
                <w:rFonts w:eastAsia="Arial Unicode MS"/>
                <w:b/>
                <w:sz w:val="22"/>
                <w:szCs w:val="22"/>
              </w:rPr>
              <w:t>)</w:t>
            </w:r>
          </w:p>
          <w:p w:rsidR="007D4E19" w:rsidRPr="00F57181" w:rsidRDefault="007D4E19" w:rsidP="0005336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7D4E19" w:rsidRPr="007B156C" w:rsidTr="00053360">
        <w:tc>
          <w:tcPr>
            <w:tcW w:w="558" w:type="dxa"/>
          </w:tcPr>
          <w:p w:rsidR="007D4E19" w:rsidRPr="007B156C" w:rsidRDefault="007D4E19" w:rsidP="0005336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4" w:type="dxa"/>
          </w:tcPr>
          <w:p w:rsidR="007D4E19" w:rsidRPr="00CC7FDF" w:rsidRDefault="007D4E19" w:rsidP="00053360">
            <w:pPr>
              <w:jc w:val="center"/>
              <w:rPr>
                <w:sz w:val="25"/>
                <w:szCs w:val="25"/>
              </w:rPr>
            </w:pPr>
            <w:r w:rsidRPr="00CC7FDF">
              <w:rPr>
                <w:sz w:val="25"/>
                <w:szCs w:val="25"/>
              </w:rPr>
              <w:t>8-04-02</w:t>
            </w:r>
          </w:p>
          <w:p w:rsidR="007D4E19" w:rsidRPr="009F5253" w:rsidRDefault="007D4E19" w:rsidP="00053360">
            <w:pPr>
              <w:jc w:val="center"/>
              <w:rPr>
                <w:b/>
                <w:sz w:val="25"/>
                <w:szCs w:val="25"/>
                <w:highlight w:val="yellow"/>
              </w:rPr>
            </w:pPr>
          </w:p>
        </w:tc>
        <w:tc>
          <w:tcPr>
            <w:tcW w:w="4394" w:type="dxa"/>
          </w:tcPr>
          <w:p w:rsidR="007D4E19" w:rsidRPr="00311B6E" w:rsidRDefault="007D4E19" w:rsidP="00053360">
            <w:pPr>
              <w:jc w:val="both"/>
              <w:outlineLvl w:val="0"/>
              <w:rPr>
                <w:b/>
                <w:sz w:val="25"/>
                <w:szCs w:val="25"/>
                <w:highlight w:val="yellow"/>
              </w:rPr>
            </w:pPr>
            <w:proofErr w:type="gramStart"/>
            <w:r w:rsidRPr="00311B6E">
              <w:rPr>
                <w:bCs/>
                <w:noProof/>
                <w:sz w:val="25"/>
                <w:szCs w:val="25"/>
              </w:rPr>
              <w:t xml:space="preserve">Протез предплечья с микропроцессорным управлением (Протез предплечья </w:t>
            </w:r>
            <w:r>
              <w:rPr>
                <w:bCs/>
                <w:noProof/>
                <w:sz w:val="25"/>
                <w:szCs w:val="25"/>
              </w:rPr>
              <w:t>с микропроцессорным управлением.</w:t>
            </w:r>
            <w:proofErr w:type="gramEnd"/>
            <w:r w:rsidRPr="00311B6E">
              <w:rPr>
                <w:bCs/>
                <w:noProof/>
                <w:sz w:val="25"/>
                <w:szCs w:val="25"/>
              </w:rPr>
              <w:t xml:space="preserve"> Уровень ампутации </w:t>
            </w:r>
            <w:r>
              <w:rPr>
                <w:bCs/>
                <w:noProof/>
                <w:sz w:val="25"/>
                <w:szCs w:val="25"/>
              </w:rPr>
              <w:t>–</w:t>
            </w:r>
            <w:r w:rsidRPr="00311B6E">
              <w:rPr>
                <w:bCs/>
                <w:noProof/>
                <w:sz w:val="25"/>
                <w:szCs w:val="25"/>
              </w:rPr>
              <w:t xml:space="preserve"> </w:t>
            </w:r>
            <w:r>
              <w:rPr>
                <w:bCs/>
                <w:noProof/>
                <w:sz w:val="25"/>
                <w:szCs w:val="25"/>
              </w:rPr>
              <w:t>верхняя треть</w:t>
            </w:r>
            <w:r w:rsidRPr="00311B6E">
              <w:rPr>
                <w:bCs/>
                <w:noProof/>
                <w:sz w:val="25"/>
                <w:szCs w:val="25"/>
              </w:rPr>
              <w:t xml:space="preserve"> п</w:t>
            </w:r>
            <w:r>
              <w:rPr>
                <w:bCs/>
                <w:noProof/>
                <w:sz w:val="25"/>
                <w:szCs w:val="25"/>
              </w:rPr>
              <w:t>ред</w:t>
            </w:r>
            <w:r w:rsidRPr="00311B6E">
              <w:rPr>
                <w:bCs/>
                <w:noProof/>
                <w:sz w:val="25"/>
                <w:szCs w:val="25"/>
              </w:rPr>
              <w:t>плечья</w:t>
            </w:r>
            <w:r>
              <w:rPr>
                <w:bCs/>
                <w:noProof/>
                <w:sz w:val="25"/>
                <w:szCs w:val="25"/>
              </w:rPr>
              <w:t>.</w:t>
            </w:r>
            <w:r w:rsidRPr="00311B6E">
              <w:rPr>
                <w:bCs/>
                <w:noProof/>
                <w:sz w:val="25"/>
                <w:szCs w:val="25"/>
              </w:rPr>
              <w:br/>
              <w:t xml:space="preserve">Объем ампутации - кисть, </w:t>
            </w:r>
            <w:r>
              <w:rPr>
                <w:bCs/>
                <w:noProof/>
                <w:sz w:val="25"/>
                <w:szCs w:val="25"/>
              </w:rPr>
              <w:t>лучезапястный</w:t>
            </w:r>
            <w:r w:rsidRPr="00311B6E">
              <w:rPr>
                <w:bCs/>
                <w:noProof/>
                <w:sz w:val="25"/>
                <w:szCs w:val="25"/>
              </w:rPr>
              <w:t xml:space="preserve"> сустав и часть </w:t>
            </w:r>
            <w:r>
              <w:rPr>
                <w:bCs/>
                <w:noProof/>
                <w:sz w:val="25"/>
                <w:szCs w:val="25"/>
              </w:rPr>
              <w:t>пред</w:t>
            </w:r>
            <w:r w:rsidRPr="00311B6E">
              <w:rPr>
                <w:bCs/>
                <w:noProof/>
                <w:sz w:val="25"/>
                <w:szCs w:val="25"/>
              </w:rPr>
              <w:t>плечья</w:t>
            </w:r>
            <w:r>
              <w:rPr>
                <w:bCs/>
                <w:noProof/>
                <w:sz w:val="25"/>
                <w:szCs w:val="25"/>
              </w:rPr>
              <w:t>.</w:t>
            </w:r>
            <w:r w:rsidRPr="00311B6E">
              <w:rPr>
                <w:bCs/>
                <w:noProof/>
                <w:sz w:val="25"/>
                <w:szCs w:val="25"/>
              </w:rPr>
              <w:br/>
              <w:t xml:space="preserve">Состояние культи </w:t>
            </w:r>
            <w:r>
              <w:rPr>
                <w:bCs/>
                <w:noProof/>
                <w:sz w:val="25"/>
                <w:szCs w:val="25"/>
              </w:rPr>
              <w:t>–</w:t>
            </w:r>
            <w:r w:rsidRPr="00311B6E">
              <w:rPr>
                <w:bCs/>
                <w:noProof/>
                <w:sz w:val="25"/>
                <w:szCs w:val="25"/>
              </w:rPr>
              <w:t xml:space="preserve"> функциональная</w:t>
            </w:r>
            <w:r>
              <w:rPr>
                <w:bCs/>
                <w:noProof/>
                <w:sz w:val="25"/>
                <w:szCs w:val="25"/>
              </w:rPr>
              <w:t>.</w:t>
            </w:r>
            <w:r w:rsidRPr="00311B6E">
              <w:rPr>
                <w:bCs/>
                <w:noProof/>
                <w:sz w:val="25"/>
                <w:szCs w:val="25"/>
              </w:rPr>
              <w:br/>
              <w:t>Наименование разновидности модуля - приемная гильза</w:t>
            </w:r>
            <w:r>
              <w:rPr>
                <w:bCs/>
                <w:noProof/>
                <w:sz w:val="25"/>
                <w:szCs w:val="25"/>
              </w:rPr>
              <w:t>.</w:t>
            </w:r>
            <w:r w:rsidRPr="00311B6E">
              <w:rPr>
                <w:bCs/>
                <w:noProof/>
                <w:sz w:val="25"/>
                <w:szCs w:val="25"/>
              </w:rPr>
              <w:t xml:space="preserve"> </w:t>
            </w:r>
            <w:r w:rsidRPr="00311B6E">
              <w:rPr>
                <w:bCs/>
                <w:noProof/>
                <w:sz w:val="25"/>
                <w:szCs w:val="25"/>
              </w:rPr>
              <w:br/>
              <w:t>Наименование разновидности модуля вкладные элементы , ко</w:t>
            </w:r>
            <w:r>
              <w:rPr>
                <w:bCs/>
                <w:noProof/>
                <w:sz w:val="25"/>
                <w:szCs w:val="25"/>
              </w:rPr>
              <w:t>нструктивные особенности модуля</w:t>
            </w:r>
            <w:r w:rsidRPr="00311B6E">
              <w:rPr>
                <w:bCs/>
                <w:noProof/>
                <w:sz w:val="25"/>
                <w:szCs w:val="25"/>
              </w:rPr>
              <w:t>: вкладная</w:t>
            </w:r>
            <w:r>
              <w:rPr>
                <w:bCs/>
                <w:noProof/>
                <w:sz w:val="25"/>
                <w:szCs w:val="25"/>
              </w:rPr>
              <w:t xml:space="preserve"> гильза из вспененных полимеров.</w:t>
            </w:r>
            <w:r w:rsidRPr="00311B6E">
              <w:rPr>
                <w:bCs/>
                <w:noProof/>
                <w:sz w:val="25"/>
                <w:szCs w:val="25"/>
              </w:rPr>
              <w:br/>
              <w:t xml:space="preserve">Искусственная кисть с микропроцессорным управлением: кисть с двумя и более парами </w:t>
            </w:r>
            <w:r w:rsidRPr="00311B6E">
              <w:rPr>
                <w:bCs/>
                <w:noProof/>
                <w:sz w:val="25"/>
                <w:szCs w:val="25"/>
              </w:rPr>
              <w:lastRenderedPageBreak/>
              <w:t xml:space="preserve">активных движений без активной ротации в </w:t>
            </w:r>
            <w:r>
              <w:rPr>
                <w:bCs/>
                <w:noProof/>
                <w:sz w:val="25"/>
                <w:szCs w:val="25"/>
              </w:rPr>
              <w:t>лучезапястном шарнире.</w:t>
            </w:r>
            <w:r w:rsidRPr="00311B6E">
              <w:rPr>
                <w:bCs/>
                <w:noProof/>
                <w:sz w:val="25"/>
                <w:szCs w:val="25"/>
              </w:rPr>
              <w:br/>
              <w:t>Комлектность - искусственная кисть с микропроцессорным управл</w:t>
            </w:r>
            <w:r>
              <w:rPr>
                <w:bCs/>
                <w:noProof/>
                <w:sz w:val="25"/>
                <w:szCs w:val="25"/>
              </w:rPr>
              <w:t>ением с косметической оболочкой.</w:t>
            </w:r>
            <w:r w:rsidRPr="00311B6E">
              <w:rPr>
                <w:bCs/>
                <w:noProof/>
                <w:sz w:val="25"/>
                <w:szCs w:val="25"/>
              </w:rPr>
              <w:br/>
              <w:t xml:space="preserve">Лучезапястный </w:t>
            </w:r>
            <w:r>
              <w:rPr>
                <w:bCs/>
                <w:noProof/>
                <w:sz w:val="25"/>
                <w:szCs w:val="25"/>
              </w:rPr>
              <w:t>узел функциональные особенности</w:t>
            </w:r>
            <w:r w:rsidRPr="00311B6E">
              <w:rPr>
                <w:bCs/>
                <w:noProof/>
                <w:sz w:val="25"/>
                <w:szCs w:val="25"/>
              </w:rPr>
              <w:t>: лучезапя</w:t>
            </w:r>
            <w:r>
              <w:rPr>
                <w:bCs/>
                <w:noProof/>
                <w:sz w:val="25"/>
                <w:szCs w:val="25"/>
              </w:rPr>
              <w:t>стный узел с пассивной ротацией.</w:t>
            </w:r>
            <w:r w:rsidRPr="00311B6E">
              <w:rPr>
                <w:bCs/>
                <w:noProof/>
                <w:sz w:val="25"/>
                <w:szCs w:val="25"/>
              </w:rPr>
              <w:br/>
            </w:r>
            <w:proofErr w:type="gramStart"/>
            <w:r w:rsidRPr="00311B6E">
              <w:rPr>
                <w:bCs/>
                <w:noProof/>
                <w:sz w:val="25"/>
                <w:szCs w:val="25"/>
              </w:rPr>
              <w:t>Крепление конструктивные особенности - анатомическое крепление (за счет приемной гильзы).</w:t>
            </w:r>
            <w:r>
              <w:rPr>
                <w:bCs/>
                <w:noProof/>
                <w:sz w:val="25"/>
                <w:szCs w:val="25"/>
              </w:rPr>
              <w:t>)</w:t>
            </w:r>
            <w:proofErr w:type="gramEnd"/>
          </w:p>
        </w:tc>
        <w:tc>
          <w:tcPr>
            <w:tcW w:w="1559" w:type="dxa"/>
          </w:tcPr>
          <w:p w:rsidR="007D4E19" w:rsidRDefault="007D4E19" w:rsidP="00053360">
            <w:pPr>
              <w:jc w:val="center"/>
              <w:outlineLvl w:val="0"/>
              <w:rPr>
                <w:sz w:val="22"/>
                <w:szCs w:val="22"/>
              </w:rPr>
            </w:pPr>
            <w:r w:rsidRPr="00043003">
              <w:rPr>
                <w:sz w:val="25"/>
                <w:szCs w:val="25"/>
              </w:rPr>
              <w:lastRenderedPageBreak/>
              <w:t>32.50.22.121</w:t>
            </w:r>
            <w:r>
              <w:rPr>
                <w:sz w:val="22"/>
                <w:szCs w:val="22"/>
              </w:rPr>
              <w:t>-</w:t>
            </w:r>
            <w:r>
              <w:rPr>
                <w:sz w:val="25"/>
                <w:szCs w:val="25"/>
              </w:rPr>
              <w:t xml:space="preserve"> Протезы внешние</w:t>
            </w:r>
          </w:p>
        </w:tc>
        <w:tc>
          <w:tcPr>
            <w:tcW w:w="992" w:type="dxa"/>
          </w:tcPr>
          <w:p w:rsidR="007D4E19" w:rsidRPr="007B156C" w:rsidRDefault="007D4E19" w:rsidP="0005336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4E19" w:rsidRPr="007B156C" w:rsidTr="00053360">
        <w:tc>
          <w:tcPr>
            <w:tcW w:w="558" w:type="dxa"/>
          </w:tcPr>
          <w:p w:rsidR="007D4E19" w:rsidRDefault="007D4E19" w:rsidP="0005336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7D4E19" w:rsidRPr="00043003" w:rsidRDefault="007D4E19" w:rsidP="00053360">
            <w:pPr>
              <w:jc w:val="center"/>
              <w:rPr>
                <w:sz w:val="25"/>
                <w:szCs w:val="25"/>
              </w:rPr>
            </w:pPr>
            <w:r w:rsidRPr="00043003">
              <w:rPr>
                <w:b/>
                <w:sz w:val="25"/>
                <w:szCs w:val="25"/>
              </w:rPr>
              <w:t>Итого:</w:t>
            </w:r>
          </w:p>
        </w:tc>
        <w:tc>
          <w:tcPr>
            <w:tcW w:w="4394" w:type="dxa"/>
          </w:tcPr>
          <w:p w:rsidR="007D4E19" w:rsidRPr="00CC7FDF" w:rsidRDefault="007D4E19" w:rsidP="00053360">
            <w:pPr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7D4E19" w:rsidRDefault="007D4E19" w:rsidP="0005336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D4E19" w:rsidRDefault="007D4E19" w:rsidP="0005336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7D4E19" w:rsidRPr="00453116" w:rsidRDefault="007D4E19" w:rsidP="007D4E19">
      <w:pPr>
        <w:jc w:val="both"/>
        <w:rPr>
          <w:sz w:val="25"/>
          <w:szCs w:val="25"/>
        </w:rPr>
      </w:pPr>
      <w:r>
        <w:t xml:space="preserve">         </w:t>
      </w:r>
      <w:r w:rsidRPr="00453116">
        <w:rPr>
          <w:sz w:val="25"/>
          <w:szCs w:val="25"/>
        </w:rPr>
        <w:t xml:space="preserve">Приемные гильзы и крепления не должны вызывать потертостей, сдавливания, ущемления и наплывов мягких тканей, нарушений кровообращения и болевых ощущений </w:t>
      </w:r>
      <w:proofErr w:type="gramStart"/>
      <w:r w:rsidRPr="00453116">
        <w:rPr>
          <w:sz w:val="25"/>
          <w:szCs w:val="25"/>
        </w:rPr>
        <w:t>при</w:t>
      </w:r>
      <w:proofErr w:type="gramEnd"/>
      <w:r w:rsidRPr="00453116">
        <w:rPr>
          <w:sz w:val="25"/>
          <w:szCs w:val="25"/>
        </w:rPr>
        <w:t xml:space="preserve"> пользованиями изделиями. Материалы приемных гильз, контактирующие с телом человека, должны быть разрешены к применению Министерством здравоохранения РФ.</w:t>
      </w:r>
    </w:p>
    <w:p w:rsidR="007D4E19" w:rsidRPr="00453116" w:rsidRDefault="007D4E19" w:rsidP="007D4E19">
      <w:pPr>
        <w:pStyle w:val="FR3"/>
        <w:widowControl/>
        <w:tabs>
          <w:tab w:val="left" w:pos="567"/>
        </w:tabs>
        <w:spacing w:line="240" w:lineRule="auto"/>
        <w:ind w:firstLine="567"/>
        <w:rPr>
          <w:rFonts w:ascii="Times New Roman" w:eastAsia="Times New Roman" w:hAnsi="Times New Roman"/>
          <w:sz w:val="25"/>
          <w:szCs w:val="25"/>
        </w:rPr>
      </w:pPr>
      <w:r w:rsidRPr="00453116">
        <w:rPr>
          <w:rFonts w:ascii="Times New Roman" w:hAnsi="Times New Roman"/>
          <w:sz w:val="25"/>
          <w:szCs w:val="25"/>
        </w:rPr>
        <w:t xml:space="preserve">Упаковка протеза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  <w:r w:rsidRPr="00453116">
        <w:rPr>
          <w:rFonts w:ascii="Times New Roman" w:eastAsia="Times New Roman" w:hAnsi="Times New Roman"/>
          <w:sz w:val="25"/>
          <w:szCs w:val="25"/>
        </w:rPr>
        <w:t xml:space="preserve"> </w:t>
      </w:r>
    </w:p>
    <w:p w:rsidR="007D4E19" w:rsidRPr="00453116" w:rsidRDefault="007D4E19" w:rsidP="007D4E19">
      <w:pPr>
        <w:shd w:val="clear" w:color="auto" w:fill="FFFFFF"/>
        <w:tabs>
          <w:tab w:val="left" w:pos="7176"/>
        </w:tabs>
        <w:ind w:firstLine="567"/>
        <w:jc w:val="both"/>
        <w:rPr>
          <w:sz w:val="25"/>
          <w:szCs w:val="25"/>
        </w:rPr>
      </w:pPr>
      <w:r w:rsidRPr="00453116">
        <w:rPr>
          <w:sz w:val="25"/>
          <w:szCs w:val="25"/>
        </w:rPr>
        <w:t>Исполнитель обязан предоставить возможность обучения гражданина правилам пользования протезом. Работы по обеспечению протезом должны быть выполнены с надлежащим качеством и в установленные сроки. Выполнение работ должно осуществляться Исполнителем лично, без привлечения соисполнителей.</w:t>
      </w:r>
    </w:p>
    <w:p w:rsidR="007D4E19" w:rsidRPr="00453116" w:rsidRDefault="007D4E19" w:rsidP="007D4E19">
      <w:pPr>
        <w:shd w:val="clear" w:color="auto" w:fill="FFFFFF"/>
        <w:tabs>
          <w:tab w:val="left" w:pos="7176"/>
        </w:tabs>
        <w:ind w:firstLine="567"/>
        <w:jc w:val="both"/>
        <w:rPr>
          <w:sz w:val="25"/>
          <w:szCs w:val="25"/>
        </w:rPr>
      </w:pPr>
      <w:r w:rsidRPr="00453116">
        <w:rPr>
          <w:sz w:val="25"/>
          <w:szCs w:val="25"/>
        </w:rPr>
        <w:t xml:space="preserve">Выполнение работ должно осуществляться на основании направления. </w:t>
      </w:r>
    </w:p>
    <w:p w:rsidR="007D4E19" w:rsidRPr="00453116" w:rsidRDefault="007D4E19" w:rsidP="007D4E19">
      <w:pPr>
        <w:shd w:val="clear" w:color="auto" w:fill="FFFFFF"/>
        <w:tabs>
          <w:tab w:val="left" w:pos="7176"/>
        </w:tabs>
        <w:ind w:firstLine="567"/>
        <w:jc w:val="both"/>
        <w:rPr>
          <w:sz w:val="25"/>
          <w:szCs w:val="25"/>
        </w:rPr>
      </w:pPr>
      <w:r w:rsidRPr="00453116">
        <w:rPr>
          <w:sz w:val="25"/>
          <w:szCs w:val="25"/>
        </w:rPr>
        <w:t>Срок пользования протезом, в течение которого изделие сохраняет свои технические, качественные и функциональные характеристики должен составлять – не менее 3 лет.</w:t>
      </w:r>
    </w:p>
    <w:p w:rsidR="007D4E19" w:rsidRPr="00453116" w:rsidRDefault="007D4E19" w:rsidP="007D4E19">
      <w:pPr>
        <w:shd w:val="clear" w:color="auto" w:fill="FFFFFF"/>
        <w:tabs>
          <w:tab w:val="left" w:pos="7176"/>
        </w:tabs>
        <w:ind w:firstLine="567"/>
        <w:jc w:val="both"/>
        <w:rPr>
          <w:sz w:val="25"/>
          <w:szCs w:val="25"/>
        </w:rPr>
      </w:pPr>
      <w:r w:rsidRPr="00453116">
        <w:rPr>
          <w:sz w:val="25"/>
          <w:szCs w:val="25"/>
        </w:rPr>
        <w:t>Гарантийный срок на протез устанавливается со дня подписания Получателем акта сдачи – приемки работ и должен составлять 24 месяца.</w:t>
      </w:r>
    </w:p>
    <w:p w:rsidR="007D4E19" w:rsidRPr="00453116" w:rsidRDefault="007D4E19" w:rsidP="007D4E19">
      <w:pPr>
        <w:shd w:val="clear" w:color="auto" w:fill="FFFFFF"/>
        <w:tabs>
          <w:tab w:val="left" w:pos="7176"/>
        </w:tabs>
        <w:ind w:firstLine="567"/>
        <w:jc w:val="both"/>
        <w:rPr>
          <w:sz w:val="25"/>
          <w:szCs w:val="25"/>
        </w:rPr>
      </w:pPr>
      <w:r w:rsidRPr="00453116">
        <w:rPr>
          <w:sz w:val="25"/>
          <w:szCs w:val="25"/>
        </w:rPr>
        <w:t xml:space="preserve">Протезы должны быть </w:t>
      </w:r>
      <w:proofErr w:type="spellStart"/>
      <w:r w:rsidRPr="00453116">
        <w:rPr>
          <w:sz w:val="25"/>
          <w:szCs w:val="25"/>
        </w:rPr>
        <w:t>ремонтопригодными</w:t>
      </w:r>
      <w:proofErr w:type="spellEnd"/>
      <w:r w:rsidRPr="00453116">
        <w:rPr>
          <w:sz w:val="25"/>
          <w:szCs w:val="25"/>
        </w:rPr>
        <w:t xml:space="preserve"> в течение всего срока службы.</w:t>
      </w:r>
    </w:p>
    <w:p w:rsidR="007D4E19" w:rsidRPr="00453116" w:rsidRDefault="007D4E19" w:rsidP="007D4E19">
      <w:pPr>
        <w:shd w:val="clear" w:color="auto" w:fill="FFFFFF"/>
        <w:tabs>
          <w:tab w:val="left" w:pos="7176"/>
        </w:tabs>
        <w:ind w:right="10" w:firstLine="567"/>
        <w:jc w:val="both"/>
        <w:rPr>
          <w:sz w:val="25"/>
          <w:szCs w:val="25"/>
        </w:rPr>
      </w:pPr>
      <w:r w:rsidRPr="00453116">
        <w:rPr>
          <w:sz w:val="25"/>
          <w:szCs w:val="25"/>
        </w:rPr>
        <w:t xml:space="preserve">Гарантийный ремонт или </w:t>
      </w:r>
      <w:r w:rsidRPr="00453116">
        <w:rPr>
          <w:bCs/>
          <w:spacing w:val="-4"/>
          <w:sz w:val="25"/>
          <w:szCs w:val="25"/>
        </w:rPr>
        <w:t xml:space="preserve">замена изделия в связи с обеспечением изделием ненадлежащего качества или в связи с неправильным определением размера изделия </w:t>
      </w:r>
      <w:r w:rsidRPr="00453116">
        <w:rPr>
          <w:sz w:val="25"/>
          <w:szCs w:val="25"/>
        </w:rPr>
        <w:t xml:space="preserve">должен осуществляться за счет Исполнителя в период гарантийного срока. </w:t>
      </w:r>
    </w:p>
    <w:p w:rsidR="007D4E19" w:rsidRPr="00454A8A" w:rsidRDefault="007D4E19" w:rsidP="007D4E19">
      <w:pPr>
        <w:shd w:val="clear" w:color="auto" w:fill="FFFFFF"/>
        <w:ind w:firstLine="586"/>
        <w:jc w:val="both"/>
        <w:rPr>
          <w:sz w:val="25"/>
          <w:szCs w:val="25"/>
        </w:rPr>
      </w:pPr>
      <w:r w:rsidRPr="00454A8A">
        <w:rPr>
          <w:b/>
          <w:sz w:val="25"/>
          <w:szCs w:val="25"/>
        </w:rPr>
        <w:t xml:space="preserve">Место </w:t>
      </w:r>
      <w:r w:rsidRPr="00454A8A">
        <w:rPr>
          <w:rFonts w:eastAsia="Times New Roman CYR"/>
          <w:b/>
          <w:kern w:val="24"/>
          <w:sz w:val="25"/>
          <w:szCs w:val="25"/>
        </w:rPr>
        <w:t>выполнения работ</w:t>
      </w:r>
      <w:r w:rsidRPr="00454A8A">
        <w:rPr>
          <w:b/>
          <w:kern w:val="24"/>
          <w:sz w:val="25"/>
          <w:szCs w:val="25"/>
        </w:rPr>
        <w:t>:</w:t>
      </w:r>
      <w:r w:rsidRPr="00454A8A">
        <w:rPr>
          <w:b/>
          <w:sz w:val="25"/>
          <w:szCs w:val="25"/>
        </w:rPr>
        <w:t xml:space="preserve"> </w:t>
      </w:r>
      <w:r w:rsidRPr="00454A8A">
        <w:rPr>
          <w:sz w:val="25"/>
          <w:szCs w:val="25"/>
        </w:rPr>
        <w:t>Алтайский край, г. Барнаул, в пункте приема Получателя по адресу, указанному Исполнителем.</w:t>
      </w:r>
    </w:p>
    <w:p w:rsidR="007D4E19" w:rsidRPr="00453116" w:rsidRDefault="007D4E19" w:rsidP="007D4E19">
      <w:pPr>
        <w:ind w:firstLine="567"/>
        <w:jc w:val="both"/>
        <w:rPr>
          <w:sz w:val="25"/>
          <w:szCs w:val="25"/>
        </w:rPr>
      </w:pPr>
      <w:r w:rsidRPr="00453116">
        <w:rPr>
          <w:sz w:val="25"/>
          <w:szCs w:val="25"/>
        </w:rPr>
        <w:t xml:space="preserve">Пункты приема Получателей, организованные исполнителем, должны соответствовать требованиям Приказа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 </w:t>
      </w:r>
    </w:p>
    <w:p w:rsidR="007D4E19" w:rsidRDefault="007D4E19" w:rsidP="007D4E19">
      <w:pPr>
        <w:ind w:firstLine="567"/>
        <w:jc w:val="both"/>
        <w:rPr>
          <w:sz w:val="25"/>
          <w:szCs w:val="25"/>
        </w:rPr>
      </w:pPr>
      <w:r w:rsidRPr="00453116">
        <w:rPr>
          <w:sz w:val="25"/>
          <w:szCs w:val="25"/>
        </w:rPr>
        <w:t>График работы пункт</w:t>
      </w:r>
      <w:proofErr w:type="gramStart"/>
      <w:r w:rsidRPr="00453116">
        <w:rPr>
          <w:sz w:val="25"/>
          <w:szCs w:val="25"/>
        </w:rPr>
        <w:t>а(</w:t>
      </w:r>
      <w:proofErr w:type="spellStart"/>
      <w:proofErr w:type="gramEnd"/>
      <w:r w:rsidRPr="00453116">
        <w:rPr>
          <w:sz w:val="25"/>
          <w:szCs w:val="25"/>
        </w:rPr>
        <w:t>ов</w:t>
      </w:r>
      <w:proofErr w:type="spellEnd"/>
      <w:r w:rsidRPr="00453116">
        <w:rPr>
          <w:sz w:val="25"/>
          <w:szCs w:val="25"/>
        </w:rPr>
        <w:t>) приема Получателей должен обеспечивать возможность передачи Изделия Получателям 5 (Пять) дней в неделю, 40 (сорок) часов в неделю, при этом время работы пункта приема должно попадать в интервал с 08:00 до 20:00. В пунктах приема Получателей должно быть обеспечено присутствие представителя Исполнителя для возможности предоставления Получателям консультаций по вопросам, связанным с изготовлением Изделий. Пункты приема Получателей должны соответствовать требованиям и стандартам, предъявляемым к условиям хранения Изделия.</w:t>
      </w:r>
    </w:p>
    <w:p w:rsidR="007D4E19" w:rsidRPr="00DB7F0D" w:rsidRDefault="007D4E19" w:rsidP="007D4E19">
      <w:pPr>
        <w:ind w:firstLine="567"/>
        <w:jc w:val="both"/>
        <w:rPr>
          <w:kern w:val="24"/>
          <w:sz w:val="25"/>
          <w:szCs w:val="25"/>
        </w:rPr>
      </w:pPr>
      <w:r w:rsidRPr="00DB7F0D">
        <w:rPr>
          <w:kern w:val="24"/>
          <w:sz w:val="25"/>
          <w:szCs w:val="25"/>
        </w:rPr>
        <w:lastRenderedPageBreak/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</w:t>
      </w:r>
    </w:p>
    <w:p w:rsidR="007D4E19" w:rsidRPr="00DB7F0D" w:rsidRDefault="007D4E19" w:rsidP="007D4E19">
      <w:pPr>
        <w:ind w:firstLine="567"/>
        <w:jc w:val="both"/>
        <w:rPr>
          <w:kern w:val="24"/>
          <w:sz w:val="25"/>
          <w:szCs w:val="25"/>
        </w:rPr>
      </w:pPr>
      <w:proofErr w:type="gramStart"/>
      <w:r w:rsidRPr="00DB7F0D">
        <w:rPr>
          <w:kern w:val="24"/>
          <w:sz w:val="25"/>
          <w:szCs w:val="25"/>
        </w:rPr>
        <w:t>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«СНиП 35-01-2001.</w:t>
      </w:r>
      <w:proofErr w:type="gramEnd"/>
      <w:r w:rsidRPr="00DB7F0D">
        <w:rPr>
          <w:kern w:val="24"/>
          <w:sz w:val="25"/>
          <w:szCs w:val="25"/>
        </w:rPr>
        <w:t xml:space="preserve"> Доступность зданий и сооружений для маломобильных групп населения» (далее – СП 59.13330.2020).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7D4E19" w:rsidRPr="00DB7F0D" w:rsidRDefault="007D4E19" w:rsidP="007D4E19">
      <w:pPr>
        <w:ind w:firstLine="567"/>
        <w:jc w:val="both"/>
        <w:rPr>
          <w:kern w:val="24"/>
          <w:sz w:val="25"/>
          <w:szCs w:val="25"/>
        </w:rPr>
      </w:pPr>
      <w:r w:rsidRPr="00DB7F0D">
        <w:rPr>
          <w:kern w:val="24"/>
          <w:sz w:val="25"/>
          <w:szCs w:val="25"/>
        </w:rPr>
        <w:t xml:space="preserve"> На территории пункта (пунктов) приема должны иметься туалетные комнаты, оборудованные для посещения Получателями в соответствии с п. 5.22. СП 44.13330.2011 «СНиП 2.09.04-87. Административные и бытовые здания», со свободным доступом Получателей. </w:t>
      </w:r>
      <w:proofErr w:type="gramStart"/>
      <w:r w:rsidRPr="00DB7F0D">
        <w:rPr>
          <w:kern w:val="24"/>
          <w:sz w:val="25"/>
          <w:szCs w:val="25"/>
        </w:rPr>
        <w:t>При чем не менее 1 (одной) оборудованной для посещения Получателями в соответствии с п. 6.3.3, 6.3.6, 6.3.9 СП 59.13330.2020).</w:t>
      </w:r>
      <w:proofErr w:type="gramEnd"/>
    </w:p>
    <w:p w:rsidR="007D4E19" w:rsidRPr="00DB7F0D" w:rsidRDefault="007D4E19" w:rsidP="007D4E19">
      <w:pPr>
        <w:ind w:firstLine="567"/>
        <w:jc w:val="both"/>
        <w:rPr>
          <w:kern w:val="24"/>
          <w:sz w:val="25"/>
          <w:szCs w:val="25"/>
        </w:rPr>
      </w:pPr>
      <w:proofErr w:type="gramStart"/>
      <w:r w:rsidRPr="00DB7F0D">
        <w:rPr>
          <w:kern w:val="24"/>
          <w:sz w:val="25"/>
          <w:szCs w:val="25"/>
        </w:rPr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  <w:proofErr w:type="gramEnd"/>
    </w:p>
    <w:p w:rsidR="007D4E19" w:rsidRPr="00DB7F0D" w:rsidRDefault="007D4E19" w:rsidP="007D4E19">
      <w:pPr>
        <w:ind w:firstLine="567"/>
        <w:jc w:val="both"/>
        <w:rPr>
          <w:kern w:val="24"/>
          <w:sz w:val="25"/>
          <w:szCs w:val="25"/>
        </w:rPr>
      </w:pPr>
      <w:r w:rsidRPr="00DB7F0D">
        <w:rPr>
          <w:kern w:val="24"/>
          <w:sz w:val="25"/>
          <w:szCs w:val="25"/>
        </w:rPr>
        <w:t>- возможность беспрепятственного входа в объекты и выхода из них;</w:t>
      </w:r>
    </w:p>
    <w:p w:rsidR="007D4E19" w:rsidRPr="00DB7F0D" w:rsidRDefault="007D4E19" w:rsidP="007D4E19">
      <w:pPr>
        <w:ind w:firstLine="567"/>
        <w:jc w:val="both"/>
        <w:rPr>
          <w:kern w:val="24"/>
          <w:sz w:val="25"/>
          <w:szCs w:val="25"/>
        </w:rPr>
      </w:pPr>
      <w:r w:rsidRPr="00DB7F0D">
        <w:rPr>
          <w:kern w:val="24"/>
          <w:sz w:val="25"/>
          <w:szCs w:val="25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DB7F0D">
        <w:rPr>
          <w:kern w:val="24"/>
          <w:sz w:val="25"/>
          <w:szCs w:val="25"/>
        </w:rPr>
        <w:t>ассистивных</w:t>
      </w:r>
      <w:proofErr w:type="spellEnd"/>
      <w:r w:rsidRPr="00DB7F0D">
        <w:rPr>
          <w:kern w:val="24"/>
          <w:sz w:val="25"/>
          <w:szCs w:val="25"/>
        </w:rPr>
        <w:t xml:space="preserve"> и вспомогательных технологий, а также сменного кресла-коляски;</w:t>
      </w:r>
    </w:p>
    <w:p w:rsidR="007D4E19" w:rsidRPr="00DB7F0D" w:rsidRDefault="007D4E19" w:rsidP="007D4E19">
      <w:pPr>
        <w:ind w:firstLine="567"/>
        <w:jc w:val="both"/>
        <w:rPr>
          <w:kern w:val="24"/>
          <w:sz w:val="25"/>
          <w:szCs w:val="25"/>
        </w:rPr>
      </w:pPr>
      <w:r w:rsidRPr="00DB7F0D">
        <w:rPr>
          <w:kern w:val="24"/>
          <w:sz w:val="25"/>
          <w:szCs w:val="25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7D4E19" w:rsidRPr="00DB7F0D" w:rsidRDefault="007D4E19" w:rsidP="007D4E19">
      <w:pPr>
        <w:ind w:firstLine="567"/>
        <w:jc w:val="both"/>
        <w:rPr>
          <w:kern w:val="24"/>
          <w:sz w:val="25"/>
          <w:szCs w:val="25"/>
        </w:rPr>
      </w:pPr>
      <w:r w:rsidRPr="00DB7F0D">
        <w:rPr>
          <w:kern w:val="24"/>
          <w:sz w:val="25"/>
          <w:szCs w:val="25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7D4E19" w:rsidRPr="00DB7F0D" w:rsidRDefault="007D4E19" w:rsidP="007D4E19">
      <w:pPr>
        <w:ind w:firstLine="567"/>
        <w:jc w:val="both"/>
        <w:rPr>
          <w:kern w:val="24"/>
          <w:sz w:val="25"/>
          <w:szCs w:val="25"/>
        </w:rPr>
      </w:pPr>
      <w:r w:rsidRPr="00DB7F0D">
        <w:rPr>
          <w:kern w:val="24"/>
          <w:sz w:val="25"/>
          <w:szCs w:val="25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D4E19" w:rsidRPr="00DB7F0D" w:rsidRDefault="007D4E19" w:rsidP="007D4E19">
      <w:pPr>
        <w:ind w:firstLine="567"/>
        <w:jc w:val="both"/>
        <w:rPr>
          <w:kern w:val="24"/>
          <w:sz w:val="25"/>
          <w:szCs w:val="25"/>
        </w:rPr>
      </w:pPr>
      <w:r w:rsidRPr="00DB7F0D">
        <w:rPr>
          <w:kern w:val="24"/>
          <w:sz w:val="25"/>
          <w:szCs w:val="25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8" w:anchor="block_1000" w:history="1">
        <w:r w:rsidRPr="00DB7F0D">
          <w:rPr>
            <w:rStyle w:val="a9"/>
            <w:kern w:val="24"/>
            <w:sz w:val="25"/>
            <w:szCs w:val="25"/>
          </w:rPr>
          <w:t>форме</w:t>
        </w:r>
      </w:hyperlink>
      <w:r w:rsidRPr="00DB7F0D">
        <w:rPr>
          <w:kern w:val="24"/>
          <w:sz w:val="25"/>
          <w:szCs w:val="25"/>
        </w:rPr>
        <w:t xml:space="preserve"> и в </w:t>
      </w:r>
      <w:hyperlink r:id="rId9" w:anchor="block_2000" w:history="1">
        <w:r w:rsidRPr="00DB7F0D">
          <w:rPr>
            <w:rStyle w:val="a9"/>
            <w:kern w:val="24"/>
            <w:sz w:val="25"/>
            <w:szCs w:val="25"/>
          </w:rPr>
          <w:t>порядке</w:t>
        </w:r>
      </w:hyperlink>
      <w:r w:rsidRPr="00DB7F0D">
        <w:rPr>
          <w:kern w:val="24"/>
          <w:sz w:val="25"/>
          <w:szCs w:val="25"/>
        </w:rPr>
        <w:t xml:space="preserve">, </w:t>
      </w:r>
      <w:proofErr w:type="gramStart"/>
      <w:r w:rsidRPr="00DB7F0D">
        <w:rPr>
          <w:kern w:val="24"/>
          <w:sz w:val="25"/>
          <w:szCs w:val="25"/>
        </w:rPr>
        <w:t>утвержденных</w:t>
      </w:r>
      <w:proofErr w:type="gramEnd"/>
      <w:r w:rsidRPr="00DB7F0D">
        <w:rPr>
          <w:kern w:val="24"/>
          <w:sz w:val="25"/>
          <w:szCs w:val="25"/>
        </w:rPr>
        <w:t xml:space="preserve"> </w:t>
      </w:r>
      <w:hyperlink r:id="rId10" w:history="1">
        <w:r w:rsidRPr="00DB7F0D">
          <w:rPr>
            <w:rStyle w:val="a9"/>
            <w:kern w:val="24"/>
            <w:sz w:val="25"/>
            <w:szCs w:val="25"/>
          </w:rPr>
          <w:t>приказом</w:t>
        </w:r>
      </w:hyperlink>
      <w:r w:rsidRPr="00DB7F0D">
        <w:rPr>
          <w:kern w:val="24"/>
          <w:sz w:val="25"/>
          <w:szCs w:val="25"/>
        </w:rPr>
        <w:t xml:space="preserve"> Министерства труда и социальной защиты Российской Федерации от 22 июня 2015 года № 386 н.</w:t>
      </w:r>
    </w:p>
    <w:p w:rsidR="003311CF" w:rsidRPr="003F7F63" w:rsidRDefault="003311CF" w:rsidP="003311CF">
      <w:pPr>
        <w:ind w:firstLine="567"/>
        <w:jc w:val="both"/>
        <w:rPr>
          <w:bCs/>
          <w:spacing w:val="3"/>
          <w:sz w:val="25"/>
          <w:szCs w:val="25"/>
        </w:rPr>
      </w:pPr>
      <w:r w:rsidRPr="00454A8A">
        <w:rPr>
          <w:b/>
          <w:sz w:val="25"/>
          <w:szCs w:val="25"/>
        </w:rPr>
        <w:t xml:space="preserve">Требования к порядку выполнения работ: </w:t>
      </w:r>
      <w:r w:rsidRPr="00454A8A">
        <w:rPr>
          <w:sz w:val="25"/>
          <w:szCs w:val="25"/>
        </w:rPr>
        <w:t>выполнение работ осуществляется в течение 60 (шестидесяти)</w:t>
      </w:r>
      <w:r>
        <w:rPr>
          <w:sz w:val="25"/>
          <w:szCs w:val="25"/>
        </w:rPr>
        <w:t xml:space="preserve"> </w:t>
      </w:r>
      <w:r w:rsidRPr="003F7F63">
        <w:rPr>
          <w:sz w:val="25"/>
          <w:szCs w:val="25"/>
        </w:rPr>
        <w:t>календарных</w:t>
      </w:r>
      <w:r w:rsidRPr="00454A8A">
        <w:rPr>
          <w:sz w:val="25"/>
          <w:szCs w:val="25"/>
        </w:rPr>
        <w:t xml:space="preserve"> дней со дня получения направления, выдаваемого Заказч</w:t>
      </w:r>
      <w:r>
        <w:rPr>
          <w:sz w:val="25"/>
          <w:szCs w:val="25"/>
        </w:rPr>
        <w:t>иком, в местах выполнения работ</w:t>
      </w:r>
      <w:r w:rsidRPr="009C15E0">
        <w:rPr>
          <w:sz w:val="25"/>
          <w:szCs w:val="25"/>
        </w:rPr>
        <w:t xml:space="preserve"> </w:t>
      </w:r>
      <w:r>
        <w:rPr>
          <w:sz w:val="25"/>
          <w:szCs w:val="25"/>
        </w:rPr>
        <w:t>не позднее 31.10.2024 г</w:t>
      </w:r>
      <w:r w:rsidRPr="00454A8A">
        <w:rPr>
          <w:bCs/>
          <w:spacing w:val="3"/>
          <w:sz w:val="25"/>
          <w:szCs w:val="25"/>
        </w:rPr>
        <w:t xml:space="preserve">. </w:t>
      </w:r>
      <w:r>
        <w:rPr>
          <w:bCs/>
          <w:spacing w:val="3"/>
          <w:sz w:val="25"/>
          <w:szCs w:val="25"/>
        </w:rPr>
        <w:t>включительно.</w:t>
      </w:r>
    </w:p>
    <w:p w:rsidR="00453116" w:rsidRDefault="003311CF" w:rsidP="003311CF">
      <w:pPr>
        <w:ind w:firstLine="567"/>
        <w:jc w:val="both"/>
        <w:rPr>
          <w:sz w:val="20"/>
          <w:szCs w:val="20"/>
        </w:rPr>
      </w:pPr>
      <w:r w:rsidRPr="00453116">
        <w:rPr>
          <w:kern w:val="24"/>
          <w:sz w:val="25"/>
          <w:szCs w:val="25"/>
        </w:rPr>
        <w:t>При выполнении работ необходимо: осуществлять индивидуальное изготовление Получателям Изделий.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sectPr w:rsidR="00453116" w:rsidSect="000120B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FB" w:rsidRDefault="004C7CFB" w:rsidP="00453116">
      <w:r>
        <w:separator/>
      </w:r>
    </w:p>
  </w:endnote>
  <w:endnote w:type="continuationSeparator" w:id="0">
    <w:p w:rsidR="004C7CFB" w:rsidRDefault="004C7CFB" w:rsidP="0045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FB" w:rsidRDefault="004C7CFB" w:rsidP="00453116">
      <w:r>
        <w:separator/>
      </w:r>
    </w:p>
  </w:footnote>
  <w:footnote w:type="continuationSeparator" w:id="0">
    <w:p w:rsidR="004C7CFB" w:rsidRDefault="004C7CFB" w:rsidP="0045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68"/>
    <w:rsid w:val="000120B9"/>
    <w:rsid w:val="0001776A"/>
    <w:rsid w:val="00021D6A"/>
    <w:rsid w:val="00027F0F"/>
    <w:rsid w:val="00035EBC"/>
    <w:rsid w:val="00036089"/>
    <w:rsid w:val="00043003"/>
    <w:rsid w:val="00043294"/>
    <w:rsid w:val="00050451"/>
    <w:rsid w:val="00052C5C"/>
    <w:rsid w:val="00056222"/>
    <w:rsid w:val="00060CD8"/>
    <w:rsid w:val="0008676E"/>
    <w:rsid w:val="000871C5"/>
    <w:rsid w:val="0009368C"/>
    <w:rsid w:val="0009464A"/>
    <w:rsid w:val="000A585C"/>
    <w:rsid w:val="000C0DD1"/>
    <w:rsid w:val="000F3EFF"/>
    <w:rsid w:val="000F4C8C"/>
    <w:rsid w:val="0011644D"/>
    <w:rsid w:val="00127643"/>
    <w:rsid w:val="00146FA8"/>
    <w:rsid w:val="00153389"/>
    <w:rsid w:val="00165F3B"/>
    <w:rsid w:val="001732AC"/>
    <w:rsid w:val="00175938"/>
    <w:rsid w:val="00193984"/>
    <w:rsid w:val="001B79B8"/>
    <w:rsid w:val="001F37B8"/>
    <w:rsid w:val="00212A6D"/>
    <w:rsid w:val="002227CD"/>
    <w:rsid w:val="002243BB"/>
    <w:rsid w:val="00251FF2"/>
    <w:rsid w:val="00262C37"/>
    <w:rsid w:val="002A22AA"/>
    <w:rsid w:val="002A2B74"/>
    <w:rsid w:val="002A709A"/>
    <w:rsid w:val="002B38FA"/>
    <w:rsid w:val="00311B6E"/>
    <w:rsid w:val="003311CF"/>
    <w:rsid w:val="0033491A"/>
    <w:rsid w:val="003432AC"/>
    <w:rsid w:val="003461D9"/>
    <w:rsid w:val="003776D8"/>
    <w:rsid w:val="00390A4A"/>
    <w:rsid w:val="003960D9"/>
    <w:rsid w:val="003D4C37"/>
    <w:rsid w:val="003E2275"/>
    <w:rsid w:val="00404396"/>
    <w:rsid w:val="00410F6E"/>
    <w:rsid w:val="00415486"/>
    <w:rsid w:val="00432842"/>
    <w:rsid w:val="00432D0A"/>
    <w:rsid w:val="00433F59"/>
    <w:rsid w:val="00453116"/>
    <w:rsid w:val="00454A8A"/>
    <w:rsid w:val="00494608"/>
    <w:rsid w:val="004B204C"/>
    <w:rsid w:val="004C7CFB"/>
    <w:rsid w:val="004D04DB"/>
    <w:rsid w:val="004D4702"/>
    <w:rsid w:val="004E6732"/>
    <w:rsid w:val="004F138C"/>
    <w:rsid w:val="00514CFC"/>
    <w:rsid w:val="0052303C"/>
    <w:rsid w:val="005254B8"/>
    <w:rsid w:val="005349A9"/>
    <w:rsid w:val="00543136"/>
    <w:rsid w:val="0058597A"/>
    <w:rsid w:val="0059144B"/>
    <w:rsid w:val="005A5061"/>
    <w:rsid w:val="005B28C6"/>
    <w:rsid w:val="005E5B20"/>
    <w:rsid w:val="005E6CBB"/>
    <w:rsid w:val="006233D3"/>
    <w:rsid w:val="006412A1"/>
    <w:rsid w:val="006604C2"/>
    <w:rsid w:val="00667837"/>
    <w:rsid w:val="0067640B"/>
    <w:rsid w:val="006858B5"/>
    <w:rsid w:val="00686E68"/>
    <w:rsid w:val="006A3C14"/>
    <w:rsid w:val="006B0808"/>
    <w:rsid w:val="006D0E5C"/>
    <w:rsid w:val="006E2AE3"/>
    <w:rsid w:val="00715CFF"/>
    <w:rsid w:val="00723371"/>
    <w:rsid w:val="007252E9"/>
    <w:rsid w:val="00744D2C"/>
    <w:rsid w:val="00750124"/>
    <w:rsid w:val="00750A9F"/>
    <w:rsid w:val="0075520B"/>
    <w:rsid w:val="00785DB1"/>
    <w:rsid w:val="007868B3"/>
    <w:rsid w:val="00793320"/>
    <w:rsid w:val="007B359F"/>
    <w:rsid w:val="007B573E"/>
    <w:rsid w:val="007C3459"/>
    <w:rsid w:val="007D4E19"/>
    <w:rsid w:val="007D5FA9"/>
    <w:rsid w:val="007E1C47"/>
    <w:rsid w:val="007E7437"/>
    <w:rsid w:val="007E78B0"/>
    <w:rsid w:val="00800EED"/>
    <w:rsid w:val="00823191"/>
    <w:rsid w:val="008420AD"/>
    <w:rsid w:val="008665DC"/>
    <w:rsid w:val="00873072"/>
    <w:rsid w:val="00880691"/>
    <w:rsid w:val="008E4E8D"/>
    <w:rsid w:val="008F5613"/>
    <w:rsid w:val="009206C2"/>
    <w:rsid w:val="00955A15"/>
    <w:rsid w:val="0095704D"/>
    <w:rsid w:val="00961535"/>
    <w:rsid w:val="009842D5"/>
    <w:rsid w:val="009F5253"/>
    <w:rsid w:val="00A06851"/>
    <w:rsid w:val="00A1245B"/>
    <w:rsid w:val="00A172F7"/>
    <w:rsid w:val="00A2175A"/>
    <w:rsid w:val="00A27520"/>
    <w:rsid w:val="00A57049"/>
    <w:rsid w:val="00A60E78"/>
    <w:rsid w:val="00A728CC"/>
    <w:rsid w:val="00AC7CD0"/>
    <w:rsid w:val="00AD0429"/>
    <w:rsid w:val="00AF3AA5"/>
    <w:rsid w:val="00B01B77"/>
    <w:rsid w:val="00B12CE5"/>
    <w:rsid w:val="00B14DFF"/>
    <w:rsid w:val="00B349C5"/>
    <w:rsid w:val="00B35308"/>
    <w:rsid w:val="00B3571B"/>
    <w:rsid w:val="00B976DD"/>
    <w:rsid w:val="00BA1FD3"/>
    <w:rsid w:val="00BA40D7"/>
    <w:rsid w:val="00BD13EB"/>
    <w:rsid w:val="00BD1736"/>
    <w:rsid w:val="00BD33FE"/>
    <w:rsid w:val="00BF6811"/>
    <w:rsid w:val="00C556DA"/>
    <w:rsid w:val="00C819FE"/>
    <w:rsid w:val="00CB6148"/>
    <w:rsid w:val="00CC7FDF"/>
    <w:rsid w:val="00D034D1"/>
    <w:rsid w:val="00D22B3B"/>
    <w:rsid w:val="00D33F3D"/>
    <w:rsid w:val="00D35B54"/>
    <w:rsid w:val="00D47397"/>
    <w:rsid w:val="00D5691B"/>
    <w:rsid w:val="00D669F3"/>
    <w:rsid w:val="00D744FC"/>
    <w:rsid w:val="00D900FB"/>
    <w:rsid w:val="00D950CD"/>
    <w:rsid w:val="00DA1E59"/>
    <w:rsid w:val="00DA590F"/>
    <w:rsid w:val="00DB4081"/>
    <w:rsid w:val="00DC090F"/>
    <w:rsid w:val="00DF6B0F"/>
    <w:rsid w:val="00E260CE"/>
    <w:rsid w:val="00E40165"/>
    <w:rsid w:val="00E41FCE"/>
    <w:rsid w:val="00E51807"/>
    <w:rsid w:val="00E623D6"/>
    <w:rsid w:val="00E66C00"/>
    <w:rsid w:val="00E67DA9"/>
    <w:rsid w:val="00EC4908"/>
    <w:rsid w:val="00EE7342"/>
    <w:rsid w:val="00F00EA7"/>
    <w:rsid w:val="00F20F9D"/>
    <w:rsid w:val="00F40392"/>
    <w:rsid w:val="00F415EB"/>
    <w:rsid w:val="00F44073"/>
    <w:rsid w:val="00F568F1"/>
    <w:rsid w:val="00F70899"/>
    <w:rsid w:val="00F70BF3"/>
    <w:rsid w:val="00F82DB3"/>
    <w:rsid w:val="00F839A8"/>
    <w:rsid w:val="00FA0DF9"/>
    <w:rsid w:val="00FA2D61"/>
    <w:rsid w:val="00FC4F40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349C5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B349C5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3">
    <w:name w:val="Body Text"/>
    <w:basedOn w:val="a"/>
    <w:link w:val="a4"/>
    <w:rsid w:val="00715CFF"/>
    <w:pPr>
      <w:spacing w:after="120"/>
    </w:pPr>
  </w:style>
  <w:style w:type="character" w:customStyle="1" w:styleId="a4">
    <w:name w:val="Основной текст Знак"/>
    <w:basedOn w:val="a0"/>
    <w:link w:val="a3"/>
    <w:rsid w:val="00715C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15CF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71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F9D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aliases w:val="%Hyperlink"/>
    <w:rsid w:val="0095704D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1F37B8"/>
    <w:pPr>
      <w:suppressAutoHyphens w:val="0"/>
      <w:spacing w:after="120"/>
      <w:ind w:left="283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F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F5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F6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6A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09464A"/>
    <w:pPr>
      <w:suppressAutoHyphens w:val="0"/>
      <w:spacing w:before="100" w:beforeAutospacing="1" w:after="119"/>
    </w:pPr>
    <w:rPr>
      <w:lang w:eastAsia="ru-RU"/>
    </w:rPr>
  </w:style>
  <w:style w:type="character" w:customStyle="1" w:styleId="im-messagetextblock">
    <w:name w:val="im-message__textblock"/>
    <w:basedOn w:val="a0"/>
    <w:rsid w:val="00FC4F40"/>
  </w:style>
  <w:style w:type="paragraph" w:styleId="af">
    <w:name w:val="footnote text"/>
    <w:basedOn w:val="a"/>
    <w:link w:val="af0"/>
    <w:uiPriority w:val="99"/>
    <w:unhideWhenUsed/>
    <w:rsid w:val="00453116"/>
    <w:pPr>
      <w:widowControl w:val="0"/>
      <w:textAlignment w:val="baseline"/>
    </w:pPr>
    <w:rPr>
      <w:rFonts w:ascii="Arial" w:eastAsia="Lucida Sans Unicode" w:hAnsi="Arial" w:cs="Tahoma"/>
      <w:kern w:val="1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453116"/>
    <w:rPr>
      <w:rFonts w:ascii="Arial" w:eastAsia="Lucida Sans Unicode" w:hAnsi="Arial" w:cs="Tahoma"/>
      <w:kern w:val="1"/>
      <w:sz w:val="20"/>
      <w:szCs w:val="20"/>
      <w:lang w:eastAsia="ar-SA"/>
    </w:rPr>
  </w:style>
  <w:style w:type="character" w:styleId="af1">
    <w:name w:val="footnote reference"/>
    <w:uiPriority w:val="99"/>
    <w:semiHidden/>
    <w:unhideWhenUsed/>
    <w:rsid w:val="004531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349C5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B349C5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3">
    <w:name w:val="Body Text"/>
    <w:basedOn w:val="a"/>
    <w:link w:val="a4"/>
    <w:rsid w:val="00715CFF"/>
    <w:pPr>
      <w:spacing w:after="120"/>
    </w:pPr>
  </w:style>
  <w:style w:type="character" w:customStyle="1" w:styleId="a4">
    <w:name w:val="Основной текст Знак"/>
    <w:basedOn w:val="a0"/>
    <w:link w:val="a3"/>
    <w:rsid w:val="00715C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15CF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71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F9D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aliases w:val="%Hyperlink"/>
    <w:rsid w:val="0095704D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1F37B8"/>
    <w:pPr>
      <w:suppressAutoHyphens w:val="0"/>
      <w:spacing w:after="120"/>
      <w:ind w:left="283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F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F5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F6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6A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09464A"/>
    <w:pPr>
      <w:suppressAutoHyphens w:val="0"/>
      <w:spacing w:before="100" w:beforeAutospacing="1" w:after="119"/>
    </w:pPr>
    <w:rPr>
      <w:lang w:eastAsia="ru-RU"/>
    </w:rPr>
  </w:style>
  <w:style w:type="character" w:customStyle="1" w:styleId="im-messagetextblock">
    <w:name w:val="im-message__textblock"/>
    <w:basedOn w:val="a0"/>
    <w:rsid w:val="00FC4F40"/>
  </w:style>
  <w:style w:type="paragraph" w:styleId="af">
    <w:name w:val="footnote text"/>
    <w:basedOn w:val="a"/>
    <w:link w:val="af0"/>
    <w:uiPriority w:val="99"/>
    <w:unhideWhenUsed/>
    <w:rsid w:val="00453116"/>
    <w:pPr>
      <w:widowControl w:val="0"/>
      <w:textAlignment w:val="baseline"/>
    </w:pPr>
    <w:rPr>
      <w:rFonts w:ascii="Arial" w:eastAsia="Lucida Sans Unicode" w:hAnsi="Arial" w:cs="Tahoma"/>
      <w:kern w:val="1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453116"/>
    <w:rPr>
      <w:rFonts w:ascii="Arial" w:eastAsia="Lucida Sans Unicode" w:hAnsi="Arial" w:cs="Tahoma"/>
      <w:kern w:val="1"/>
      <w:sz w:val="20"/>
      <w:szCs w:val="20"/>
      <w:lang w:eastAsia="ar-SA"/>
    </w:rPr>
  </w:style>
  <w:style w:type="character" w:styleId="af1">
    <w:name w:val="footnote reference"/>
    <w:uiPriority w:val="99"/>
    <w:semiHidden/>
    <w:unhideWhenUsed/>
    <w:rsid w:val="0045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53f89421bbdaf741eb2d1ecc4ddb4c3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11451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145140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0D416-5679-498E-8840-D7886BF8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Анастасия Андреевна</dc:creator>
  <cp:lastModifiedBy>Колмыков Д.С.</cp:lastModifiedBy>
  <cp:revision>3</cp:revision>
  <cp:lastPrinted>2024-03-13T07:05:00Z</cp:lastPrinted>
  <dcterms:created xsi:type="dcterms:W3CDTF">2024-04-09T04:13:00Z</dcterms:created>
  <dcterms:modified xsi:type="dcterms:W3CDTF">2024-04-26T04:14:00Z</dcterms:modified>
</cp:coreProperties>
</file>