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71"/>
        <w:widowControl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№3 к извещению о проведении электронного аукциона</w:t>
      </w:r>
    </w:p>
    <w:p>
      <w:pPr>
        <w:pStyle w:val="Style71"/>
        <w:widowControl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71"/>
        <w:widowControl/>
        <w:jc w:val="center"/>
        <w:rPr>
          <w:rStyle w:val="FontStyle63"/>
          <w:sz w:val="24"/>
          <w:szCs w:val="24"/>
        </w:rPr>
      </w:pPr>
      <w:r>
        <w:rPr>
          <w:rStyle w:val="FontStyle63"/>
          <w:sz w:val="24"/>
          <w:szCs w:val="24"/>
        </w:rPr>
        <w:t>Наименование и описание объекта закупки</w:t>
      </w:r>
    </w:p>
    <w:p>
      <w:pPr>
        <w:pStyle w:val="Normal"/>
        <w:widowControl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</w:r>
    </w:p>
    <w:p>
      <w:pPr>
        <w:pStyle w:val="Normal"/>
        <w:ind w:firstLine="709"/>
        <w:jc w:val="center"/>
        <w:rPr>
          <w:b/>
          <w:u w:val="single"/>
        </w:rPr>
      </w:pPr>
      <w:r>
        <w:rPr>
          <w:b/>
          <w:u w:val="single"/>
        </w:rPr>
        <w:t>Выполнение работ по обеспечению экзопротезами молочной железы в 2025 году для граждан, в целях их социального обеспечения.</w:t>
      </w:r>
    </w:p>
    <w:p>
      <w:pPr>
        <w:pStyle w:val="Normal"/>
        <w:ind w:firstLine="709"/>
        <w:jc w:val="both"/>
        <w:rPr/>
      </w:pPr>
      <w:r>
        <w:rPr/>
      </w:r>
    </w:p>
    <w:tbl>
      <w:tblPr>
        <w:tblW w:w="1006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09"/>
        <w:gridCol w:w="6662"/>
        <w:gridCol w:w="994"/>
      </w:tblGrid>
      <w:tr>
        <w:trPr>
          <w:trHeight w:val="1578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Наименование, модель поставляемого товара, страна происхождения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Описание и характеристики поставляемого товара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Кол-во,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шт.</w:t>
            </w:r>
          </w:p>
        </w:tc>
      </w:tr>
      <w:tr>
        <w:trPr>
          <w:trHeight w:val="70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Экзопротез молочной железы</w:t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both"/>
              <w:rPr/>
            </w:pPr>
            <w:r>
              <w:rPr/>
              <w:t xml:space="preserve">Экзопротезы молочной железы являются комплексным (косметическим и лечебно-профилактическим) средством.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both"/>
              <w:rPr/>
            </w:pPr>
            <w:r>
              <w:rPr/>
              <w:t xml:space="preserve">Экзопротезы молочной железы обеспечивают восполнение массы утраченного органа, весовой баланс тела, предупреждая вторичные деформации, маскировать косметический дефект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both"/>
              <w:rPr/>
            </w:pPr>
            <w:r>
              <w:rPr/>
              <w:t>На поверхностях оболочки экзопротеза не допускается наличие вмятин и других механических повреждений.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both"/>
              <w:rPr/>
            </w:pPr>
            <w:r>
              <w:rPr/>
              <w:t>Экзопротез молочной железы не ограничивает движения туловища рук, не оказывает механическое раздражающее действие на послеоперационный рубец, не оказывает давление на тело.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both"/>
              <w:rPr/>
            </w:pPr>
            <w:r>
              <w:rPr/>
              <w:t>Экзопротез молочной железы изготавливается из силикона или других аналогичных материалов.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both"/>
              <w:rPr/>
            </w:pPr>
            <w:r>
              <w:rPr/>
              <w:t>Экзопротезы молочной железы в зависимости от потребности получателей симметричные или асимметричные.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both"/>
              <w:rPr/>
            </w:pPr>
            <w:r>
              <w:rPr/>
              <w:t>Симметричные экзопротезы можно использовать с правой или с левой стороны.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/>
            </w:pPr>
            <w:r>
              <w:rPr/>
              <w:t xml:space="preserve">Экзопротез молочной железы симметричной формы.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/>
            </w:pPr>
            <w:r>
              <w:rPr/>
              <w:t>Размеры от 0 до 9.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jc w:val="both"/>
              <w:rPr/>
            </w:pPr>
            <w:r>
              <w:rPr>
                <w:bCs/>
              </w:rPr>
              <w:t>Экзопротезы молочной железы укомплектованы чехлами в количестве не менее 2 штук.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816" w:leader="none"/>
              </w:tabs>
              <w:snapToGrid w:val="false"/>
              <w:spacing w:before="0" w:after="0"/>
              <w:contextualSpacing/>
              <w:rPr/>
            </w:pPr>
            <w:r>
              <w:rPr/>
              <w:t>Для возможности учета индивидуальных особенностей строения грудной клетки и потребности потребителя (индивидуального подбора протеза), не менее трех полнот: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/>
            </w:pPr>
            <w:r>
              <w:rPr/>
              <w:t>А-уменьшенная полнота,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/>
            </w:pPr>
            <w:r>
              <w:rPr/>
              <w:t>В-стандартная полнота,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/>
            </w:pPr>
            <w:r>
              <w:rPr/>
              <w:t>С-увеличенная полнота.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jc w:val="both"/>
              <w:rPr/>
            </w:pPr>
            <w:r>
              <w:rPr/>
              <w:t>Асимметричные (левые и правые) экзопротезы в правом и левом исполнении.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Экзопротез молочной железы ассиметричной формы.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Размеры от 0 до 11.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/>
            </w:pPr>
            <w:r>
              <w:rPr/>
              <w:t>Правое и левое исполнение.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jc w:val="both"/>
              <w:rPr/>
            </w:pPr>
            <w:r>
              <w:rPr>
                <w:bCs/>
              </w:rPr>
              <w:t>Экзопротезы молочной железы укомплектованы чехлами в количестве не менее 2 штук.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/>
            </w:pPr>
            <w:r>
              <w:rPr/>
              <w:t>Для возможности учета индивидуальных особенностей строения грудной клетки и потребности потребителя (индивидуального подбора протеза), не менее трех полнот: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/>
            </w:pPr>
            <w:r>
              <w:rPr/>
              <w:t>А-уменьшенная полнота,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/>
            </w:pPr>
            <w:r>
              <w:rPr/>
              <w:t>В-стандартная полнота,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С-увеличенная полнота.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szCs w:val="24"/>
              </w:rPr>
              <w:t>Размер экзопротеза молочной железы подбирается в зависимости от потребности Получателя (антропометрических данных Получателя).</w:t>
            </w:r>
          </w:p>
          <w:p>
            <w:pPr>
              <w:pStyle w:val="Style17"/>
              <w:widowControl w:val="false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Постоянный.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napToGrid w:val="false"/>
              <w:spacing w:before="0" w:after="0"/>
              <w:contextualSpacing/>
              <w:rPr/>
            </w:pPr>
            <w:r>
              <w:rPr/>
              <w:t>Гарантийный срок Изделия составляет 6 (шесть) месяцев со дня подписания Получателем акта приема-передачи Изделия.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</w:t>
            </w:r>
          </w:p>
        </w:tc>
      </w:tr>
    </w:tbl>
    <w:p>
      <w:pPr>
        <w:pStyle w:val="Normal"/>
        <w:ind w:firstLine="55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ind w:firstLine="550"/>
        <w:jc w:val="both"/>
        <w:rPr>
          <w:lang w:eastAsia="ar-SA"/>
        </w:rPr>
      </w:pPr>
      <w:r>
        <w:rPr>
          <w:lang w:eastAsia="ar-SA"/>
        </w:rPr>
        <w:t>Разработка, производство, сертификация, эксплуатация, ремонт экзопротезов молочной железы должны отвечать требованиям ГОСТ Р 15.111-2015 «Система разработки и постановки продукции на производство. Технические средства реабилитации инвалидов».</w:t>
      </w:r>
    </w:p>
    <w:p>
      <w:pPr>
        <w:pStyle w:val="Normal"/>
        <w:ind w:firstLine="550"/>
        <w:rPr>
          <w:b/>
          <w:lang w:eastAsia="ar-SA"/>
        </w:rPr>
      </w:pPr>
      <w:r>
        <w:rPr>
          <w:b/>
          <w:lang w:eastAsia="ar-SA"/>
        </w:rPr>
        <w:t xml:space="preserve">Требования к размерам, упаковке и отгрузке изделий: </w:t>
      </w:r>
    </w:p>
    <w:p>
      <w:pPr>
        <w:pStyle w:val="Normal"/>
        <w:ind w:firstLine="550"/>
        <w:jc w:val="both"/>
        <w:rPr>
          <w:lang w:eastAsia="ar-SA"/>
        </w:rPr>
      </w:pPr>
      <w:r>
        <w:rPr>
          <w:lang w:eastAsia="ar-SA"/>
        </w:rPr>
        <w:t xml:space="preserve">Упаковка обеспечивает защиту от повреждений, порчи (изнашивания) или загрязнения во время хранения и транспортировки к месту использования по назначению. </w:t>
      </w:r>
    </w:p>
    <w:p>
      <w:pPr>
        <w:pStyle w:val="Normal"/>
        <w:ind w:firstLine="708"/>
        <w:jc w:val="both"/>
        <w:rPr/>
      </w:pPr>
      <w:r>
        <w:rPr/>
        <w:t xml:space="preserve">При необходимости отправка изделий к месту нахождения инвалидов осуществляется с соблюдением требований ГОСТ Р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  </w:t>
      </w:r>
    </w:p>
    <w:p>
      <w:pPr>
        <w:pStyle w:val="Normal"/>
        <w:ind w:firstLine="708"/>
        <w:jc w:val="both"/>
        <w:rPr/>
      </w:pPr>
      <w:r>
        <w:rPr>
          <w:b/>
          <w:lang w:eastAsia="ar-SA"/>
        </w:rPr>
        <w:t>Требования к качеству работ:</w:t>
      </w:r>
      <w:r>
        <w:rPr/>
        <w:t xml:space="preserve"> Работы по обеспечению инвалидов экзопротезами молочной железы выполняются с надлежащим качеством и в установленные сроки.</w:t>
      </w:r>
    </w:p>
    <w:p>
      <w:pPr>
        <w:pStyle w:val="Normal"/>
        <w:ind w:firstLine="550"/>
        <w:jc w:val="both"/>
        <w:rPr>
          <w:lang w:eastAsia="ar-SA"/>
        </w:rPr>
      </w:pPr>
      <w:r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Требования к техническим характеристикам: </w:t>
      </w:r>
    </w:p>
    <w:p>
      <w:pPr>
        <w:pStyle w:val="Normal"/>
        <w:widowControl/>
        <w:jc w:val="both"/>
        <w:rPr/>
      </w:pPr>
      <w:r>
        <w:rPr/>
        <w:t xml:space="preserve">Экзопротезы молочной железы соответствуют требованиям Межгосударственного стандарта Российской Федерации </w:t>
      </w:r>
      <w:r>
        <w:rPr>
          <w:rFonts w:eastAsia="Calibri" w:eastAsiaTheme="minorHAnsi"/>
          <w:lang w:eastAsia="en-US"/>
        </w:rPr>
        <w:t>ГОСТ ISO 10993-1-2021 «Изделия медицинские. Оценка биологического действия медицинских изделий. Часть 1. Оценка и исследования в процессе менеджмента риска"</w:t>
      </w:r>
      <w:r>
        <w:rPr/>
        <w:t xml:space="preserve">, ГОСТ ISO 10993-5-2023 </w:t>
      </w:r>
      <w:r>
        <w:rPr>
          <w:rFonts w:eastAsia="Calibri" w:eastAsiaTheme="minorHAnsi"/>
          <w:lang w:eastAsia="en-US"/>
        </w:rPr>
        <w:t>«Изделия медицинские. Оценка биологического действия медицинских изделий. Часть 5. Исследования на цитотоксичность методами in vitro"</w:t>
      </w:r>
      <w:r>
        <w:rPr/>
        <w:t>, ГОСТ ISO 10993-10-2023 «Изделия медицинские. Оценка биологического действия медицинских изделий. Ч</w:t>
      </w:r>
      <w:r>
        <w:rPr>
          <w:rFonts w:eastAsia="Calibri" w:eastAsiaTheme="minorHAnsi"/>
          <w:lang w:eastAsia="en-US"/>
        </w:rPr>
        <w:t>асть 10. Исследования сенсибилизирующего действия»,</w:t>
      </w:r>
      <w:r>
        <w:rPr/>
        <w:t xml:space="preserve"> ГОСТ Р 51632-2021 «Технические средства реабилитации людей с ограничениями жизнедеятельности. Общие технические требования и методы испытаний». </w:t>
      </w:r>
    </w:p>
    <w:p>
      <w:pPr>
        <w:pStyle w:val="Normal"/>
        <w:jc w:val="center"/>
        <w:rPr>
          <w:b/>
        </w:rPr>
      </w:pPr>
      <w:r>
        <w:rPr>
          <w:b/>
        </w:rPr>
        <w:t>Требования к месту, условиям, объемам и срокам поставки Товара (выполнения работ, оказания услуг):</w:t>
      </w:r>
    </w:p>
    <w:p>
      <w:pPr>
        <w:pStyle w:val="Normal"/>
        <w:ind w:firstLine="709"/>
        <w:jc w:val="both"/>
        <w:rPr/>
      </w:pPr>
      <w:r>
        <w:rPr/>
        <w:t>Производить замеры получателям осуществляется в соответствии с выбором Получателей в пределах административных границ города Севастополя:</w:t>
      </w:r>
    </w:p>
    <w:p>
      <w:pPr>
        <w:pStyle w:val="Normal"/>
        <w:ind w:firstLine="709"/>
        <w:jc w:val="both"/>
        <w:rPr/>
      </w:pPr>
      <w:r>
        <w:rPr/>
        <w:t>1.</w:t>
        <w:tab/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>
      <w:pPr>
        <w:pStyle w:val="Normal"/>
        <w:ind w:firstLine="709"/>
        <w:jc w:val="both"/>
        <w:rPr/>
      </w:pPr>
      <w:r>
        <w:rPr/>
        <w:t>2.</w:t>
        <w:tab/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>
      <w:pPr>
        <w:pStyle w:val="Normal"/>
        <w:ind w:firstLine="708"/>
        <w:jc w:val="both"/>
        <w:rPr/>
      </w:pPr>
      <w:r>
        <w:rPr/>
        <w:t>Выдать Изделие непосредственно Получателям по месту жительства или, по согласованию с Получателями, в пункте выдачи на территории города Севастополя, в течение 60 календарных дней с даты получения Реестров Подрядчиком</w:t>
      </w:r>
      <w:bookmarkStart w:id="0" w:name="_GoBack"/>
      <w:bookmarkEnd w:id="0"/>
      <w:r>
        <w:rPr/>
        <w:t>, на основании Направления Заказчика.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154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63" w:customStyle="1">
    <w:name w:val="Font Style63"/>
    <w:basedOn w:val="DefaultParagraphFont"/>
    <w:uiPriority w:val="99"/>
    <w:qFormat/>
    <w:rsid w:val="00651540"/>
    <w:rPr>
      <w:rFonts w:ascii="Times New Roman" w:hAnsi="Times New Roman" w:cs="Times New Roman"/>
      <w:b/>
      <w:bCs/>
      <w:sz w:val="26"/>
      <w:szCs w:val="26"/>
    </w:rPr>
  </w:style>
  <w:style w:type="character" w:styleId="NoSpacingChar" w:customStyle="1">
    <w:name w:val="No Spacing Char"/>
    <w:link w:val="11"/>
    <w:uiPriority w:val="34"/>
    <w:qFormat/>
    <w:locked/>
    <w:rsid w:val="00651540"/>
    <w:rPr>
      <w:rFonts w:ascii="Calibri" w:hAnsi="Calibri" w:eastAsia="Times New Roman" w:cs="Calibri"/>
      <w:lang w:eastAsia="ar-SA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d062f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ConsPlusNormal" w:customStyle="1">
    <w:name w:val="ConsPlusNormal Знак"/>
    <w:link w:val="ConsPlusNormal1"/>
    <w:qFormat/>
    <w:locked/>
    <w:rsid w:val="00ac531f"/>
    <w:rPr>
      <w:rFonts w:ascii="Calibri" w:hAnsi="Calibri" w:eastAsia="" w:cs="Calibri" w:eastAsiaTheme="minorEastAsia"/>
      <w:szCs w:val="20"/>
      <w:lang w:eastAsia="ru-RU"/>
    </w:rPr>
  </w:style>
  <w:style w:type="character" w:styleId="Style15" w:customStyle="1">
    <w:name w:val="Основной текст Знак"/>
    <w:qFormat/>
    <w:locked/>
    <w:rsid w:val="00f129d5"/>
    <w:rPr>
      <w:sz w:val="24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f129d5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Style15"/>
    <w:unhideWhenUsed/>
    <w:rsid w:val="00f129d5"/>
    <w:pPr>
      <w:widowControl/>
      <w:spacing w:before="0" w:after="120"/>
    </w:pPr>
    <w:rPr>
      <w:rFonts w:ascii="Calibri" w:hAnsi="Calibri" w:eastAsia="Calibri" w:cs="" w:asciiTheme="minorHAnsi" w:cstheme="minorBidi" w:eastAsiaTheme="minorHAnsi" w:hAnsiTheme="minorHAnsi"/>
      <w:szCs w:val="22"/>
      <w:lang w:eastAsia="en-US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71" w:customStyle="1">
    <w:name w:val="Style7"/>
    <w:basedOn w:val="Normal"/>
    <w:qFormat/>
    <w:rsid w:val="00651540"/>
    <w:pPr/>
    <w:rPr/>
  </w:style>
  <w:style w:type="paragraph" w:styleId="Text" w:customStyle="1">
    <w:name w:val="text"/>
    <w:basedOn w:val="Normal"/>
    <w:qFormat/>
    <w:rsid w:val="00651540"/>
    <w:pPr>
      <w:widowControl/>
      <w:ind w:left="120" w:right="120" w:firstLine="150"/>
    </w:pPr>
    <w:rPr>
      <w:rFonts w:ascii="Tahoma" w:hAnsi="Tahoma" w:eastAsia="Times New Roman" w:cs="Tahoma"/>
      <w:sz w:val="18"/>
      <w:szCs w:val="18"/>
      <w:lang w:eastAsia="ar-SA"/>
    </w:rPr>
  </w:style>
  <w:style w:type="paragraph" w:styleId="11" w:customStyle="1">
    <w:name w:val="Без интервала1"/>
    <w:link w:val="NoSpacingChar"/>
    <w:uiPriority w:val="34"/>
    <w:qFormat/>
    <w:rsid w:val="00651540"/>
    <w:pPr>
      <w:widowControl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062f"/>
    <w:pPr/>
    <w:rPr>
      <w:rFonts w:ascii="Segoe UI" w:hAnsi="Segoe UI" w:cs="Segoe UI"/>
      <w:sz w:val="18"/>
      <w:szCs w:val="18"/>
    </w:rPr>
  </w:style>
  <w:style w:type="paragraph" w:styleId="ConsPlusNormal1" w:customStyle="1">
    <w:name w:val="ConsPlusNormal"/>
    <w:link w:val="ConsPlusNormal"/>
    <w:qFormat/>
    <w:rsid w:val="00ac531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f90406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LibreOffice/7.5.4.2$Windows_X86_64 LibreOffice_project/36ccfdc35048b057fd9854c757a8b67ec53977b6</Application>
  <AppVersion>15.0000</AppVersion>
  <Pages>2</Pages>
  <Words>591</Words>
  <Characters>4421</Characters>
  <CharactersWithSpaces>4978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2024-09-18T08:41:00Z</dcterms:created>
  <dc:creator>Кривицкий Анатолий Алексеевич</dc:creator>
  <dc:description/>
  <dc:language>ru-RU</dc:language>
  <cp:lastModifiedBy/>
  <cp:lastPrinted>2021-07-21T14:40:00Z</cp:lastPrinted>
  <dcterms:modified xsi:type="dcterms:W3CDTF">2024-09-18T17:02:04Z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