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A8" w:rsidRPr="00F91836" w:rsidRDefault="00AD10A2" w:rsidP="00735769">
      <w:pPr>
        <w:keepNext/>
        <w:jc w:val="center"/>
        <w:rPr>
          <w:b/>
          <w:bCs/>
          <w:sz w:val="20"/>
          <w:szCs w:val="20"/>
        </w:rPr>
      </w:pPr>
      <w:bookmarkStart w:id="0" w:name="_GoBack"/>
      <w:bookmarkEnd w:id="0"/>
      <w:r w:rsidRPr="00F91836">
        <w:rPr>
          <w:b/>
          <w:bCs/>
          <w:sz w:val="20"/>
          <w:szCs w:val="20"/>
        </w:rPr>
        <w:t>Техническое задание</w:t>
      </w:r>
    </w:p>
    <w:p w:rsidR="00AD10A2" w:rsidRPr="00F91836" w:rsidRDefault="00D112A8" w:rsidP="00735769">
      <w:pPr>
        <w:keepNext/>
        <w:jc w:val="center"/>
        <w:rPr>
          <w:b/>
          <w:bCs/>
          <w:sz w:val="20"/>
          <w:szCs w:val="20"/>
        </w:rPr>
      </w:pPr>
      <w:r w:rsidRPr="00F91836">
        <w:rPr>
          <w:b/>
          <w:bCs/>
          <w:sz w:val="20"/>
          <w:szCs w:val="20"/>
        </w:rPr>
        <w:t>на поставку</w:t>
      </w:r>
      <w:r w:rsidRPr="00F91836">
        <w:rPr>
          <w:b/>
          <w:sz w:val="20"/>
          <w:szCs w:val="20"/>
        </w:rPr>
        <w:t xml:space="preserve"> технических средств реабилитации – </w:t>
      </w:r>
      <w:r w:rsidR="0088542F" w:rsidRPr="00F91836">
        <w:rPr>
          <w:b/>
          <w:sz w:val="20"/>
          <w:szCs w:val="20"/>
        </w:rPr>
        <w:t xml:space="preserve">специальных средств, при нарушениях функций выделения </w:t>
      </w:r>
      <w:r w:rsidR="00F30C87">
        <w:rPr>
          <w:b/>
          <w:sz w:val="20"/>
          <w:szCs w:val="20"/>
        </w:rPr>
        <w:t>для обеспечения в 2024</w:t>
      </w:r>
      <w:r w:rsidR="0088542F" w:rsidRPr="00F91836">
        <w:rPr>
          <w:b/>
          <w:sz w:val="20"/>
          <w:szCs w:val="20"/>
        </w:rPr>
        <w:t xml:space="preserve"> году.</w:t>
      </w:r>
    </w:p>
    <w:p w:rsidR="00AD10A2" w:rsidRPr="00F91836" w:rsidRDefault="00AD10A2" w:rsidP="00735769">
      <w:pPr>
        <w:keepNext/>
        <w:jc w:val="both"/>
        <w:rPr>
          <w:b/>
          <w:bCs/>
          <w:sz w:val="20"/>
          <w:szCs w:val="20"/>
        </w:rPr>
      </w:pPr>
    </w:p>
    <w:p w:rsidR="00AD10A2" w:rsidRPr="00F91836" w:rsidRDefault="00AD10A2" w:rsidP="00735769">
      <w:pPr>
        <w:keepNext/>
        <w:jc w:val="center"/>
        <w:rPr>
          <w:b/>
          <w:sz w:val="20"/>
          <w:szCs w:val="20"/>
        </w:rPr>
      </w:pPr>
      <w:r w:rsidRPr="00F91836">
        <w:rPr>
          <w:b/>
          <w:bCs/>
          <w:sz w:val="20"/>
          <w:szCs w:val="20"/>
        </w:rPr>
        <w:t>Наименование товара</w:t>
      </w:r>
    </w:p>
    <w:p w:rsidR="00A36AE5" w:rsidRPr="00F91836" w:rsidRDefault="0088542F" w:rsidP="00BF48AA">
      <w:pPr>
        <w:ind w:firstLine="709"/>
        <w:jc w:val="center"/>
        <w:rPr>
          <w:sz w:val="20"/>
          <w:szCs w:val="20"/>
        </w:rPr>
      </w:pPr>
      <w:r w:rsidRPr="00F91836">
        <w:rPr>
          <w:sz w:val="20"/>
          <w:szCs w:val="20"/>
        </w:rPr>
        <w:t>Специальные средства при</w:t>
      </w:r>
      <w:r w:rsidR="002463B2" w:rsidRPr="00F91836">
        <w:rPr>
          <w:sz w:val="20"/>
          <w:szCs w:val="20"/>
        </w:rPr>
        <w:t xml:space="preserve"> нарушениях функций выделения –</w:t>
      </w:r>
      <w:r w:rsidR="001B6DDE">
        <w:rPr>
          <w:sz w:val="20"/>
          <w:szCs w:val="20"/>
        </w:rPr>
        <w:t>катетеры</w:t>
      </w:r>
      <w:r w:rsidR="009864E3">
        <w:rPr>
          <w:sz w:val="20"/>
          <w:szCs w:val="20"/>
        </w:rPr>
        <w:t>.</w:t>
      </w:r>
    </w:p>
    <w:p w:rsidR="00AD10A2" w:rsidRPr="00F91836" w:rsidRDefault="00AD10A2" w:rsidP="00735769">
      <w:pPr>
        <w:keepNext/>
        <w:jc w:val="both"/>
        <w:rPr>
          <w:b/>
          <w:bCs/>
          <w:sz w:val="20"/>
          <w:szCs w:val="20"/>
        </w:rPr>
      </w:pPr>
    </w:p>
    <w:p w:rsidR="00D112A8" w:rsidRPr="00F91836" w:rsidRDefault="00AD10A2" w:rsidP="00470E68">
      <w:pPr>
        <w:widowControl w:val="0"/>
        <w:ind w:firstLine="709"/>
        <w:jc w:val="center"/>
        <w:rPr>
          <w:b/>
          <w:bCs/>
          <w:sz w:val="20"/>
          <w:szCs w:val="20"/>
        </w:rPr>
      </w:pPr>
      <w:r w:rsidRPr="00F91836">
        <w:rPr>
          <w:b/>
          <w:bCs/>
          <w:sz w:val="20"/>
          <w:szCs w:val="20"/>
        </w:rPr>
        <w:t xml:space="preserve">Требования к функциональным характеристикам, безопасности и качеству </w:t>
      </w:r>
      <w:r w:rsidR="00D112A8" w:rsidRPr="00F91836">
        <w:rPr>
          <w:b/>
          <w:bCs/>
          <w:sz w:val="20"/>
          <w:szCs w:val="20"/>
        </w:rPr>
        <w:t>товара</w:t>
      </w:r>
    </w:p>
    <w:p w:rsidR="00D112A8" w:rsidRPr="00F91836" w:rsidRDefault="00D112A8" w:rsidP="00735769">
      <w:pPr>
        <w:widowControl w:val="0"/>
        <w:ind w:firstLine="709"/>
        <w:jc w:val="both"/>
        <w:rPr>
          <w:b/>
          <w:bCs/>
          <w:sz w:val="20"/>
          <w:szCs w:val="20"/>
          <w:u w:val="single"/>
        </w:rPr>
      </w:pPr>
    </w:p>
    <w:p w:rsidR="00352BFE" w:rsidRPr="00F91836" w:rsidRDefault="0088542F" w:rsidP="00735769">
      <w:pPr>
        <w:ind w:firstLine="709"/>
        <w:jc w:val="both"/>
        <w:rPr>
          <w:sz w:val="20"/>
          <w:szCs w:val="20"/>
        </w:rPr>
      </w:pPr>
      <w:r w:rsidRPr="00F91836">
        <w:rPr>
          <w:sz w:val="20"/>
          <w:szCs w:val="20"/>
        </w:rPr>
        <w:t>Специальные средства п</w:t>
      </w:r>
      <w:r w:rsidR="00A36AE5" w:rsidRPr="00F91836">
        <w:rPr>
          <w:sz w:val="20"/>
          <w:szCs w:val="20"/>
        </w:rPr>
        <w:t>ри нарушениях функций выделения (</w:t>
      </w:r>
      <w:r w:rsidR="009864E3">
        <w:rPr>
          <w:sz w:val="20"/>
          <w:szCs w:val="20"/>
        </w:rPr>
        <w:t>катетеры</w:t>
      </w:r>
      <w:r w:rsidR="00A36AE5" w:rsidRPr="00F91836">
        <w:rPr>
          <w:sz w:val="20"/>
          <w:szCs w:val="20"/>
        </w:rPr>
        <w:t xml:space="preserve">) </w:t>
      </w:r>
      <w:r w:rsidRPr="00F91836">
        <w:rPr>
          <w:sz w:val="20"/>
          <w:szCs w:val="20"/>
        </w:rPr>
        <w:t xml:space="preserve">- </w:t>
      </w:r>
      <w:r w:rsidR="00352BFE" w:rsidRPr="00F91836">
        <w:rPr>
          <w:sz w:val="20"/>
          <w:szCs w:val="20"/>
        </w:rPr>
        <w:t>это устройства, носимые на себе, предназначенные для соединения естественных каналов, полостей тела, сосудов с внешней средой с целью их опорожнения, введения в них жидкостей, промывания</w:t>
      </w:r>
      <w:r w:rsidR="00760E9B">
        <w:rPr>
          <w:sz w:val="20"/>
          <w:szCs w:val="20"/>
        </w:rPr>
        <w:t>.</w:t>
      </w:r>
    </w:p>
    <w:p w:rsidR="00EF77FE" w:rsidRPr="00FA0114" w:rsidRDefault="00EF77FE" w:rsidP="00EF77FE">
      <w:pPr>
        <w:ind w:firstLine="709"/>
        <w:jc w:val="both"/>
        <w:rPr>
          <w:sz w:val="20"/>
          <w:szCs w:val="20"/>
        </w:rPr>
      </w:pPr>
      <w:r w:rsidRPr="00FA0114">
        <w:rPr>
          <w:sz w:val="20"/>
          <w:szCs w:val="20"/>
        </w:rPr>
        <w:t>Специальные средства при нарушениях функций выделения должны соответствовать требованиям государственных стандартов:</w:t>
      </w:r>
    </w:p>
    <w:p w:rsidR="00EF77FE" w:rsidRDefault="00EF77FE" w:rsidP="00EF77FE">
      <w:pPr>
        <w:ind w:firstLine="709"/>
        <w:jc w:val="both"/>
        <w:rPr>
          <w:sz w:val="20"/>
          <w:szCs w:val="20"/>
        </w:rPr>
      </w:pPr>
      <w:r w:rsidRPr="00FA0114">
        <w:rPr>
          <w:sz w:val="20"/>
          <w:szCs w:val="20"/>
        </w:rPr>
        <w:t xml:space="preserve">    -  ГОСТ Р 58235-2022 «Специальные средства при нарушении функции выделения. Термины и определения. Классификация»;</w:t>
      </w:r>
    </w:p>
    <w:p w:rsidR="00EF77FE" w:rsidRPr="00EF77FE" w:rsidRDefault="00EF77FE" w:rsidP="00EF77FE">
      <w:pPr>
        <w:ind w:firstLine="709"/>
        <w:jc w:val="both"/>
        <w:rPr>
          <w:sz w:val="20"/>
          <w:szCs w:val="20"/>
        </w:rPr>
      </w:pPr>
      <w:r>
        <w:rPr>
          <w:sz w:val="20"/>
          <w:szCs w:val="20"/>
        </w:rPr>
        <w:t xml:space="preserve">П. </w:t>
      </w:r>
      <w:r w:rsidRPr="00EF77FE">
        <w:rPr>
          <w:sz w:val="20"/>
          <w:szCs w:val="20"/>
        </w:rPr>
        <w:t xml:space="preserve">3.41 мочеточниковый катетер для </w:t>
      </w:r>
      <w:proofErr w:type="spellStart"/>
      <w:r w:rsidRPr="00EF77FE">
        <w:rPr>
          <w:sz w:val="20"/>
          <w:szCs w:val="20"/>
        </w:rPr>
        <w:t>уретерокутанеостом</w:t>
      </w:r>
      <w:proofErr w:type="spellEnd"/>
      <w:r w:rsidRPr="00EF77FE">
        <w:rPr>
          <w:sz w:val="20"/>
          <w:szCs w:val="20"/>
        </w:rPr>
        <w:t xml:space="preserve"> (</w:t>
      </w:r>
      <w:proofErr w:type="spellStart"/>
      <w:r w:rsidRPr="00EF77FE">
        <w:rPr>
          <w:sz w:val="20"/>
          <w:szCs w:val="20"/>
        </w:rPr>
        <w:t>ureterostomy</w:t>
      </w:r>
      <w:proofErr w:type="spellEnd"/>
      <w:r w:rsidRPr="00EF77FE">
        <w:rPr>
          <w:sz w:val="20"/>
          <w:szCs w:val="20"/>
        </w:rPr>
        <w:t xml:space="preserve"> </w:t>
      </w:r>
      <w:proofErr w:type="spellStart"/>
      <w:r w:rsidRPr="00EF77FE">
        <w:rPr>
          <w:sz w:val="20"/>
          <w:szCs w:val="20"/>
        </w:rPr>
        <w:t>catheter</w:t>
      </w:r>
      <w:proofErr w:type="spellEnd"/>
      <w:r w:rsidRPr="00EF77FE">
        <w:rPr>
          <w:sz w:val="20"/>
          <w:szCs w:val="20"/>
        </w:rPr>
        <w:t xml:space="preserve">): </w:t>
      </w:r>
      <w:proofErr w:type="spellStart"/>
      <w:r w:rsidRPr="00EF77FE">
        <w:rPr>
          <w:sz w:val="20"/>
          <w:szCs w:val="20"/>
        </w:rPr>
        <w:t>Одноходовый</w:t>
      </w:r>
      <w:proofErr w:type="spellEnd"/>
      <w:r w:rsidRPr="00EF77FE">
        <w:rPr>
          <w:sz w:val="20"/>
          <w:szCs w:val="20"/>
        </w:rPr>
        <w:t xml:space="preserve"> </w:t>
      </w:r>
      <w:proofErr w:type="spellStart"/>
      <w:r w:rsidRPr="00EF77FE">
        <w:rPr>
          <w:sz w:val="20"/>
          <w:szCs w:val="20"/>
        </w:rPr>
        <w:t>безбаллонный</w:t>
      </w:r>
      <w:proofErr w:type="spellEnd"/>
      <w:r w:rsidRPr="00EF77FE">
        <w:rPr>
          <w:sz w:val="20"/>
          <w:szCs w:val="20"/>
        </w:rPr>
        <w:t xml:space="preserve"> урологический катетер с коннектором для соединения с мочеприемником.</w:t>
      </w:r>
    </w:p>
    <w:p w:rsidR="00EF77FE" w:rsidRDefault="00EF77FE" w:rsidP="00EF77FE">
      <w:pPr>
        <w:ind w:firstLine="709"/>
        <w:jc w:val="both"/>
        <w:rPr>
          <w:sz w:val="20"/>
          <w:szCs w:val="20"/>
        </w:rPr>
      </w:pPr>
      <w:r>
        <w:rPr>
          <w:sz w:val="20"/>
          <w:szCs w:val="20"/>
        </w:rPr>
        <w:t xml:space="preserve">П. </w:t>
      </w:r>
      <w:r w:rsidRPr="00EF77FE">
        <w:rPr>
          <w:sz w:val="20"/>
          <w:szCs w:val="20"/>
        </w:rPr>
        <w:t xml:space="preserve">3.43 катетер для </w:t>
      </w:r>
      <w:proofErr w:type="spellStart"/>
      <w:r w:rsidRPr="00EF77FE">
        <w:rPr>
          <w:sz w:val="20"/>
          <w:szCs w:val="20"/>
        </w:rPr>
        <w:t>нефростом</w:t>
      </w:r>
      <w:proofErr w:type="spellEnd"/>
      <w:r w:rsidRPr="00EF77FE">
        <w:rPr>
          <w:sz w:val="20"/>
          <w:szCs w:val="20"/>
        </w:rPr>
        <w:t xml:space="preserve"> (</w:t>
      </w:r>
      <w:proofErr w:type="spellStart"/>
      <w:r w:rsidRPr="00EF77FE">
        <w:rPr>
          <w:sz w:val="20"/>
          <w:szCs w:val="20"/>
        </w:rPr>
        <w:t>nephrostomy</w:t>
      </w:r>
      <w:proofErr w:type="spellEnd"/>
      <w:r w:rsidRPr="00EF77FE">
        <w:rPr>
          <w:sz w:val="20"/>
          <w:szCs w:val="20"/>
        </w:rPr>
        <w:t xml:space="preserve"> </w:t>
      </w:r>
      <w:proofErr w:type="spellStart"/>
      <w:r w:rsidRPr="00EF77FE">
        <w:rPr>
          <w:sz w:val="20"/>
          <w:szCs w:val="20"/>
        </w:rPr>
        <w:t>catheter</w:t>
      </w:r>
      <w:proofErr w:type="spellEnd"/>
      <w:r w:rsidRPr="00EF77FE">
        <w:rPr>
          <w:sz w:val="20"/>
          <w:szCs w:val="20"/>
        </w:rPr>
        <w:t xml:space="preserve">): Двухходовый [с одним ходом (портом) для раздувания баллона, вторым - для присоединения к мешку-мочеприемнику] баллонный катетер для </w:t>
      </w:r>
      <w:proofErr w:type="spellStart"/>
      <w:r w:rsidRPr="00EF77FE">
        <w:rPr>
          <w:sz w:val="20"/>
          <w:szCs w:val="20"/>
        </w:rPr>
        <w:t>нефростом</w:t>
      </w:r>
      <w:proofErr w:type="spellEnd"/>
      <w:r w:rsidRPr="00EF77FE">
        <w:rPr>
          <w:sz w:val="20"/>
          <w:szCs w:val="20"/>
        </w:rPr>
        <w:t xml:space="preserve">; катетер J-типа для </w:t>
      </w:r>
      <w:proofErr w:type="spellStart"/>
      <w:r w:rsidRPr="00EF77FE">
        <w:rPr>
          <w:sz w:val="20"/>
          <w:szCs w:val="20"/>
        </w:rPr>
        <w:t>нефростом</w:t>
      </w:r>
      <w:proofErr w:type="spellEnd"/>
      <w:r w:rsidRPr="00EF77FE">
        <w:rPr>
          <w:sz w:val="20"/>
          <w:szCs w:val="20"/>
        </w:rPr>
        <w:t xml:space="preserve"> с коннектором для присоединения к мочеприемнику и катетер </w:t>
      </w:r>
      <w:proofErr w:type="spellStart"/>
      <w:r w:rsidRPr="00EF77FE">
        <w:rPr>
          <w:sz w:val="20"/>
          <w:szCs w:val="20"/>
        </w:rPr>
        <w:t>Малеко</w:t>
      </w:r>
      <w:proofErr w:type="spellEnd"/>
      <w:r w:rsidRPr="00EF77FE">
        <w:rPr>
          <w:sz w:val="20"/>
          <w:szCs w:val="20"/>
        </w:rPr>
        <w:t xml:space="preserve"> для </w:t>
      </w:r>
      <w:proofErr w:type="spellStart"/>
      <w:r w:rsidRPr="00EF77FE">
        <w:rPr>
          <w:sz w:val="20"/>
          <w:szCs w:val="20"/>
        </w:rPr>
        <w:t>нефростом</w:t>
      </w:r>
      <w:proofErr w:type="spellEnd"/>
      <w:r w:rsidRPr="00EF77FE">
        <w:rPr>
          <w:sz w:val="20"/>
          <w:szCs w:val="20"/>
        </w:rPr>
        <w:t>.</w:t>
      </w:r>
    </w:p>
    <w:p w:rsidR="0033710C" w:rsidRPr="00580D4C" w:rsidRDefault="0033710C" w:rsidP="0033710C">
      <w:pPr>
        <w:widowControl w:val="0"/>
        <w:tabs>
          <w:tab w:val="left" w:pos="540"/>
        </w:tabs>
        <w:jc w:val="both"/>
        <w:rPr>
          <w:sz w:val="20"/>
          <w:szCs w:val="20"/>
        </w:rPr>
      </w:pPr>
      <w:r>
        <w:rPr>
          <w:sz w:val="20"/>
          <w:szCs w:val="20"/>
        </w:rPr>
        <w:t xml:space="preserve">              - </w:t>
      </w:r>
      <w:r w:rsidRPr="00580D4C">
        <w:rPr>
          <w:sz w:val="20"/>
          <w:szCs w:val="20"/>
        </w:rPr>
        <w:t>ГОСТ Р 52770-2023. Национальный стандарт Российской Федерации. Изделия медицинские. Система оценки биологического действия. Общие требования безопасности".</w:t>
      </w:r>
    </w:p>
    <w:p w:rsidR="0033710C" w:rsidRPr="00580D4C" w:rsidRDefault="0033710C" w:rsidP="0033710C">
      <w:pPr>
        <w:widowControl w:val="0"/>
        <w:tabs>
          <w:tab w:val="left" w:pos="540"/>
        </w:tabs>
        <w:jc w:val="both"/>
        <w:rPr>
          <w:sz w:val="20"/>
          <w:szCs w:val="20"/>
        </w:rPr>
      </w:pPr>
      <w:r w:rsidRPr="00580D4C">
        <w:rPr>
          <w:sz w:val="20"/>
          <w:szCs w:val="20"/>
        </w:rPr>
        <w:t>Настоящий стандарт устанавливает общие требования безопасности медицинских изделий (МИ) и материалов, применяемых для их изготовления.</w:t>
      </w:r>
    </w:p>
    <w:p w:rsidR="0033710C" w:rsidRPr="00580D4C" w:rsidRDefault="0033710C" w:rsidP="0033710C">
      <w:pPr>
        <w:widowControl w:val="0"/>
        <w:tabs>
          <w:tab w:val="left" w:pos="540"/>
        </w:tabs>
        <w:jc w:val="both"/>
        <w:rPr>
          <w:sz w:val="20"/>
          <w:szCs w:val="20"/>
        </w:rPr>
      </w:pPr>
      <w:r w:rsidRPr="00580D4C">
        <w:rPr>
          <w:sz w:val="20"/>
          <w:szCs w:val="20"/>
        </w:rPr>
        <w:t>Целью настоящего стандарта является установление общих требований к медицинским изделиям (МИ) и материалам, подтверждение которых обеспечивает их безопасное применение при использовании по назначению в надлежащих условиях (предусмотренное применение/назначение).</w:t>
      </w:r>
    </w:p>
    <w:p w:rsidR="0033710C" w:rsidRPr="00580D4C" w:rsidRDefault="0033710C" w:rsidP="0033710C">
      <w:pPr>
        <w:widowControl w:val="0"/>
        <w:tabs>
          <w:tab w:val="left" w:pos="540"/>
        </w:tabs>
        <w:jc w:val="both"/>
        <w:rPr>
          <w:sz w:val="20"/>
          <w:szCs w:val="20"/>
        </w:rPr>
      </w:pPr>
      <w:r w:rsidRPr="00580D4C">
        <w:rPr>
          <w:sz w:val="20"/>
          <w:szCs w:val="20"/>
        </w:rPr>
        <w:t>Стандарт является руководством для оценки биологического действия МИ на всех этапах жизненного цикла. Результаты оценки позволяют сделать заключение о биологической совместимости МИ.</w:t>
      </w:r>
    </w:p>
    <w:p w:rsidR="0033710C" w:rsidRPr="00032DE4" w:rsidRDefault="0033710C" w:rsidP="0033710C">
      <w:pPr>
        <w:widowControl w:val="0"/>
        <w:tabs>
          <w:tab w:val="left" w:pos="540"/>
        </w:tabs>
        <w:jc w:val="both"/>
        <w:rPr>
          <w:b/>
          <w:bCs/>
          <w:sz w:val="20"/>
          <w:szCs w:val="20"/>
          <w:u w:val="single"/>
        </w:rPr>
      </w:pPr>
      <w:r w:rsidRPr="00580D4C">
        <w:rPr>
          <w:sz w:val="20"/>
          <w:szCs w:val="20"/>
        </w:rPr>
        <w:t xml:space="preserve">          При поступлении Товара в субъект Российской Федерации, поставщик обязан представить Заказчику копии действующего регистрационного удостоверения, выданного Федеральной службой по надзору в сфере здравоохранения, свидетельствующих о качестве и безопасности Товара, предусмотренных действующим законодательством Российской Федерации.</w:t>
      </w:r>
    </w:p>
    <w:p w:rsidR="00B25E4A" w:rsidRPr="00F91836" w:rsidRDefault="00AD10A2" w:rsidP="00735769">
      <w:pPr>
        <w:widowControl w:val="0"/>
        <w:tabs>
          <w:tab w:val="left" w:pos="540"/>
        </w:tabs>
        <w:ind w:firstLine="720"/>
        <w:jc w:val="center"/>
        <w:rPr>
          <w:b/>
          <w:color w:val="000000"/>
          <w:sz w:val="20"/>
          <w:szCs w:val="20"/>
        </w:rPr>
      </w:pPr>
      <w:r w:rsidRPr="00F91836">
        <w:rPr>
          <w:b/>
          <w:color w:val="000000"/>
          <w:sz w:val="20"/>
          <w:szCs w:val="20"/>
        </w:rPr>
        <w:t>Требования к маркировке, у</w:t>
      </w:r>
      <w:r w:rsidR="00D112A8" w:rsidRPr="00F91836">
        <w:rPr>
          <w:b/>
          <w:color w:val="000000"/>
          <w:sz w:val="20"/>
          <w:szCs w:val="20"/>
        </w:rPr>
        <w:t>паковк</w:t>
      </w:r>
      <w:r w:rsidRPr="00F91836">
        <w:rPr>
          <w:b/>
          <w:color w:val="000000"/>
          <w:sz w:val="20"/>
          <w:szCs w:val="20"/>
        </w:rPr>
        <w:t xml:space="preserve">е, </w:t>
      </w:r>
      <w:r w:rsidR="003379C3" w:rsidRPr="00F91836">
        <w:rPr>
          <w:b/>
          <w:color w:val="000000"/>
          <w:sz w:val="20"/>
          <w:szCs w:val="20"/>
        </w:rPr>
        <w:t>транспортировке товара</w:t>
      </w:r>
      <w:r w:rsidR="00D112A8" w:rsidRPr="00F91836">
        <w:rPr>
          <w:b/>
          <w:color w:val="000000"/>
          <w:sz w:val="20"/>
          <w:szCs w:val="20"/>
        </w:rPr>
        <w:t>.</w:t>
      </w:r>
    </w:p>
    <w:p w:rsidR="00F91836" w:rsidRPr="00F91836" w:rsidRDefault="00F91836" w:rsidP="00735769">
      <w:pPr>
        <w:widowControl w:val="0"/>
        <w:tabs>
          <w:tab w:val="left" w:pos="540"/>
        </w:tabs>
        <w:ind w:firstLine="720"/>
        <w:jc w:val="both"/>
        <w:rPr>
          <w:b/>
          <w:color w:val="000000"/>
          <w:sz w:val="20"/>
          <w:szCs w:val="20"/>
        </w:rPr>
      </w:pPr>
    </w:p>
    <w:p w:rsidR="00EF77FE" w:rsidRDefault="00EF77FE" w:rsidP="00EF77FE">
      <w:pPr>
        <w:tabs>
          <w:tab w:val="num" w:pos="0"/>
        </w:tabs>
        <w:ind w:firstLine="720"/>
        <w:jc w:val="both"/>
        <w:rPr>
          <w:sz w:val="20"/>
          <w:szCs w:val="20"/>
        </w:rPr>
      </w:pPr>
      <w:r w:rsidRPr="009B2FA6">
        <w:rPr>
          <w:sz w:val="20"/>
          <w:szCs w:val="20"/>
        </w:rPr>
        <w:t>Хранение должно осуществляться в соответствии с требованиями, предъявляемыми к данной категории товара.</w:t>
      </w:r>
    </w:p>
    <w:p w:rsidR="00EF77FE" w:rsidRPr="009B2FA6" w:rsidRDefault="00EF77FE" w:rsidP="00EF77FE">
      <w:pPr>
        <w:tabs>
          <w:tab w:val="num" w:pos="0"/>
        </w:tabs>
        <w:ind w:firstLine="720"/>
        <w:jc w:val="both"/>
        <w:rPr>
          <w:sz w:val="20"/>
          <w:szCs w:val="20"/>
        </w:rPr>
      </w:pPr>
      <w:r w:rsidRPr="009B2FA6">
        <w:rPr>
          <w:sz w:val="20"/>
          <w:szCs w:val="20"/>
        </w:rPr>
        <w:t xml:space="preserve">ГОСТ Р 58237-2022 «Средства ухода за кишечными </w:t>
      </w:r>
      <w:proofErr w:type="spellStart"/>
      <w:r w:rsidRPr="009B2FA6">
        <w:rPr>
          <w:sz w:val="20"/>
          <w:szCs w:val="20"/>
        </w:rPr>
        <w:t>стомами</w:t>
      </w:r>
      <w:proofErr w:type="spellEnd"/>
      <w:r w:rsidRPr="009B2FA6">
        <w:rPr>
          <w:sz w:val="20"/>
          <w:szCs w:val="20"/>
        </w:rPr>
        <w:t xml:space="preserve">: калоприемники, вспомогательные средства и средства ухода за кожей вокруг </w:t>
      </w:r>
      <w:proofErr w:type="spellStart"/>
      <w:r w:rsidRPr="009B2FA6">
        <w:rPr>
          <w:sz w:val="20"/>
          <w:szCs w:val="20"/>
        </w:rPr>
        <w:t>стомы</w:t>
      </w:r>
      <w:proofErr w:type="spellEnd"/>
      <w:r w:rsidRPr="009B2FA6">
        <w:rPr>
          <w:sz w:val="20"/>
          <w:szCs w:val="20"/>
        </w:rPr>
        <w:t>. Характеристики и основные требования. Методы испытаний»: п.6 Требования к упаковке и маркировке.</w:t>
      </w:r>
    </w:p>
    <w:p w:rsidR="00EF77FE" w:rsidRPr="009B2FA6" w:rsidRDefault="00EF77FE" w:rsidP="00EF77FE">
      <w:pPr>
        <w:tabs>
          <w:tab w:val="num" w:pos="0"/>
        </w:tabs>
        <w:ind w:firstLine="720"/>
        <w:jc w:val="both"/>
        <w:rPr>
          <w:sz w:val="20"/>
          <w:szCs w:val="20"/>
        </w:rPr>
      </w:pPr>
      <w:r w:rsidRPr="009B2FA6">
        <w:rPr>
          <w:sz w:val="20"/>
          <w:szCs w:val="20"/>
        </w:rPr>
        <w:t>Упаковка медицинского изделия должна содержать информацию на русском языке.</w:t>
      </w:r>
    </w:p>
    <w:p w:rsidR="00EF77FE" w:rsidRPr="009B2FA6" w:rsidRDefault="00EF77FE" w:rsidP="00EF77FE">
      <w:pPr>
        <w:tabs>
          <w:tab w:val="num" w:pos="0"/>
        </w:tabs>
        <w:ind w:firstLine="720"/>
        <w:jc w:val="both"/>
        <w:rPr>
          <w:sz w:val="20"/>
          <w:szCs w:val="20"/>
        </w:rPr>
      </w:pPr>
      <w:r w:rsidRPr="009B2FA6">
        <w:rPr>
          <w:sz w:val="20"/>
          <w:szCs w:val="20"/>
        </w:rPr>
        <w:t>Условия хранения и транспортирования должны быть указаны на упаковке и в эксплуатационной документации. Данная информация может быть указана в виде соответствующих символов.</w:t>
      </w:r>
    </w:p>
    <w:p w:rsidR="00EF77FE" w:rsidRPr="009B2FA6" w:rsidRDefault="00EF77FE" w:rsidP="00EF77FE">
      <w:pPr>
        <w:tabs>
          <w:tab w:val="num" w:pos="0"/>
        </w:tabs>
        <w:ind w:firstLine="720"/>
        <w:jc w:val="both"/>
        <w:rPr>
          <w:sz w:val="20"/>
          <w:szCs w:val="20"/>
        </w:rPr>
      </w:pPr>
      <w:r w:rsidRPr="009B2FA6">
        <w:rPr>
          <w:sz w:val="20"/>
          <w:szCs w:val="20"/>
        </w:rPr>
        <w:t>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 обеспечивающая возможность правильного выбора медицинского изделия.</w:t>
      </w:r>
    </w:p>
    <w:p w:rsidR="00EF77FE" w:rsidRPr="009B2FA6" w:rsidRDefault="00EF77FE" w:rsidP="00EF77FE">
      <w:pPr>
        <w:tabs>
          <w:tab w:val="num" w:pos="0"/>
        </w:tabs>
        <w:ind w:firstLine="720"/>
        <w:jc w:val="both"/>
        <w:rPr>
          <w:sz w:val="20"/>
          <w:szCs w:val="20"/>
        </w:rPr>
      </w:pPr>
      <w:r w:rsidRPr="009B2FA6">
        <w:rPr>
          <w:sz w:val="20"/>
          <w:szCs w:val="20"/>
        </w:rPr>
        <w:t>Информация в обязательном порядке должна содержать:</w:t>
      </w:r>
    </w:p>
    <w:p w:rsidR="00EF77FE" w:rsidRPr="009B2FA6" w:rsidRDefault="00EF77FE" w:rsidP="00EF77FE">
      <w:pPr>
        <w:tabs>
          <w:tab w:val="num" w:pos="0"/>
        </w:tabs>
        <w:ind w:firstLine="720"/>
        <w:jc w:val="both"/>
        <w:rPr>
          <w:sz w:val="20"/>
          <w:szCs w:val="20"/>
        </w:rPr>
      </w:pPr>
      <w:r w:rsidRPr="009B2FA6">
        <w:rPr>
          <w:sz w:val="20"/>
          <w:szCs w:val="20"/>
        </w:rPr>
        <w:t>- наименование медицинского изделия;</w:t>
      </w:r>
    </w:p>
    <w:p w:rsidR="00EF77FE" w:rsidRPr="009B2FA6" w:rsidRDefault="00EF77FE" w:rsidP="00EF77FE">
      <w:pPr>
        <w:tabs>
          <w:tab w:val="num" w:pos="0"/>
        </w:tabs>
        <w:ind w:firstLine="720"/>
        <w:jc w:val="both"/>
        <w:rPr>
          <w:sz w:val="20"/>
          <w:szCs w:val="20"/>
        </w:rPr>
      </w:pPr>
      <w:r w:rsidRPr="009B2FA6">
        <w:rPr>
          <w:sz w:val="20"/>
          <w:szCs w:val="20"/>
        </w:rPr>
        <w:t>- местонахождение (адрес), фирменное наименование (наименование) изготовителя (продавца), местонахождение (адрес) организации (организаций), уполномоченной изготовителем (продавцом) на принятие претензий от покупателей, для импортного медицинского изделия - наименование страны происхождения товара;</w:t>
      </w:r>
    </w:p>
    <w:p w:rsidR="00EF77FE" w:rsidRPr="009B2FA6" w:rsidRDefault="00EF77FE" w:rsidP="00EF77FE">
      <w:pPr>
        <w:tabs>
          <w:tab w:val="num" w:pos="0"/>
        </w:tabs>
        <w:ind w:firstLine="720"/>
        <w:jc w:val="both"/>
        <w:rPr>
          <w:sz w:val="20"/>
          <w:szCs w:val="20"/>
        </w:rPr>
      </w:pPr>
      <w:r w:rsidRPr="009B2FA6">
        <w:rPr>
          <w:sz w:val="20"/>
          <w:szCs w:val="20"/>
        </w:rPr>
        <w:t>- сведения об основных потребительских свойствах медицинского изделия;</w:t>
      </w:r>
    </w:p>
    <w:p w:rsidR="00EF77FE" w:rsidRPr="009B2FA6" w:rsidRDefault="00EF77FE" w:rsidP="00EF77FE">
      <w:pPr>
        <w:tabs>
          <w:tab w:val="num" w:pos="0"/>
        </w:tabs>
        <w:ind w:firstLine="720"/>
        <w:jc w:val="both"/>
        <w:rPr>
          <w:sz w:val="20"/>
          <w:szCs w:val="20"/>
        </w:rPr>
      </w:pPr>
      <w:r w:rsidRPr="009B2FA6">
        <w:rPr>
          <w:sz w:val="20"/>
          <w:szCs w:val="20"/>
        </w:rPr>
        <w:t>- сведения о его назначении, способе и условиях применения, ограничениях (противопоказаниях) для применения, могут быть указаны в инструкции по применению или другой документации, прилагаемой к изделию;</w:t>
      </w:r>
    </w:p>
    <w:p w:rsidR="00EF77FE" w:rsidRPr="009B2FA6" w:rsidRDefault="00EF77FE" w:rsidP="00EF77FE">
      <w:pPr>
        <w:tabs>
          <w:tab w:val="num" w:pos="0"/>
        </w:tabs>
        <w:ind w:firstLine="720"/>
        <w:jc w:val="both"/>
        <w:rPr>
          <w:sz w:val="20"/>
          <w:szCs w:val="20"/>
        </w:rPr>
      </w:pPr>
      <w:r w:rsidRPr="009B2FA6">
        <w:rPr>
          <w:sz w:val="20"/>
          <w:szCs w:val="20"/>
        </w:rPr>
        <w:t>- срок годности, а также сведения о возможных последствиях применения медицинского изделия по истечении указанного срока;</w:t>
      </w:r>
    </w:p>
    <w:p w:rsidR="00EF77FE" w:rsidRPr="009B2FA6" w:rsidRDefault="00EF77FE" w:rsidP="00EF77FE">
      <w:pPr>
        <w:tabs>
          <w:tab w:val="num" w:pos="0"/>
        </w:tabs>
        <w:ind w:firstLine="720"/>
        <w:jc w:val="both"/>
        <w:rPr>
          <w:sz w:val="20"/>
          <w:szCs w:val="20"/>
        </w:rPr>
      </w:pPr>
      <w:r w:rsidRPr="009B2FA6">
        <w:rPr>
          <w:sz w:val="20"/>
          <w:szCs w:val="20"/>
        </w:rPr>
        <w:t>- сведения о номере и дате регистрационного удостоверения на медицинское изделие;</w:t>
      </w:r>
    </w:p>
    <w:p w:rsidR="00EF77FE" w:rsidRPr="009B2FA6" w:rsidRDefault="00EF77FE" w:rsidP="00EF77FE">
      <w:pPr>
        <w:tabs>
          <w:tab w:val="num" w:pos="0"/>
        </w:tabs>
        <w:ind w:firstLine="720"/>
        <w:jc w:val="both"/>
        <w:rPr>
          <w:sz w:val="20"/>
          <w:szCs w:val="20"/>
        </w:rPr>
      </w:pPr>
      <w:r w:rsidRPr="009B2FA6">
        <w:rPr>
          <w:sz w:val="20"/>
          <w:szCs w:val="20"/>
        </w:rPr>
        <w:t>- не допускается применение медицинских изделий, если нарушена упаковка, данная информация может быть указана в виде соответствующих символов;</w:t>
      </w:r>
    </w:p>
    <w:p w:rsidR="00EF77FE" w:rsidRDefault="00EF77FE" w:rsidP="00EF77FE">
      <w:pPr>
        <w:tabs>
          <w:tab w:val="num" w:pos="0"/>
        </w:tabs>
        <w:ind w:firstLine="720"/>
        <w:jc w:val="both"/>
        <w:rPr>
          <w:sz w:val="20"/>
          <w:szCs w:val="20"/>
        </w:rPr>
      </w:pPr>
      <w:r w:rsidRPr="009B2FA6">
        <w:rPr>
          <w:sz w:val="20"/>
          <w:szCs w:val="20"/>
        </w:rPr>
        <w:t>- сведения об утилизации медицинских изделий могут быть указаны в инструкциях по применению медицинских изделий или другой документации, прилагаемой к медицинскому изделию.</w:t>
      </w:r>
    </w:p>
    <w:p w:rsidR="00EF77FE" w:rsidRPr="005F47DB" w:rsidRDefault="00EF77FE" w:rsidP="00EF77FE">
      <w:pPr>
        <w:tabs>
          <w:tab w:val="num" w:pos="0"/>
        </w:tabs>
        <w:ind w:firstLine="720"/>
        <w:jc w:val="both"/>
        <w:rPr>
          <w:sz w:val="20"/>
          <w:szCs w:val="20"/>
        </w:rPr>
      </w:pPr>
      <w:r w:rsidRPr="005F47DB">
        <w:rPr>
          <w:sz w:val="20"/>
          <w:szCs w:val="20"/>
        </w:rPr>
        <w:t>Изделия в количестве, определяемом производителем, упаковывают в коробки по ГОСТ 33781-2016:</w:t>
      </w:r>
    </w:p>
    <w:p w:rsidR="00EF77FE" w:rsidRPr="005F47DB" w:rsidRDefault="00EF77FE" w:rsidP="00EF77FE">
      <w:pPr>
        <w:tabs>
          <w:tab w:val="num" w:pos="0"/>
        </w:tabs>
        <w:ind w:firstLine="720"/>
        <w:jc w:val="both"/>
        <w:rPr>
          <w:sz w:val="20"/>
          <w:szCs w:val="20"/>
        </w:rPr>
      </w:pPr>
      <w:r w:rsidRPr="005F47DB">
        <w:rPr>
          <w:sz w:val="20"/>
          <w:szCs w:val="20"/>
        </w:rPr>
        <w:t>п.5.2.5 На поверхности упаковки не допускаются масляные пятна, расслоение материала, механические повреждения, следы клея.</w:t>
      </w:r>
    </w:p>
    <w:p w:rsidR="00EF77FE" w:rsidRPr="005F47DB" w:rsidRDefault="00EF77FE" w:rsidP="00EF77FE">
      <w:pPr>
        <w:tabs>
          <w:tab w:val="num" w:pos="0"/>
        </w:tabs>
        <w:ind w:firstLine="720"/>
        <w:jc w:val="both"/>
        <w:rPr>
          <w:sz w:val="20"/>
          <w:szCs w:val="20"/>
        </w:rPr>
      </w:pPr>
      <w:r w:rsidRPr="005F47DB">
        <w:rPr>
          <w:sz w:val="20"/>
          <w:szCs w:val="20"/>
        </w:rPr>
        <w:t>Допускаются следы от перемычек штампа, не портящие поверхности упаковки. Края кромок должны иметь ровный обрез без разрывов и расслоения картона.</w:t>
      </w:r>
    </w:p>
    <w:p w:rsidR="00EF77FE" w:rsidRPr="005F47DB" w:rsidRDefault="00EF77FE" w:rsidP="00EF77FE">
      <w:pPr>
        <w:tabs>
          <w:tab w:val="num" w:pos="0"/>
        </w:tabs>
        <w:ind w:firstLine="720"/>
        <w:jc w:val="both"/>
        <w:rPr>
          <w:sz w:val="20"/>
          <w:szCs w:val="20"/>
        </w:rPr>
      </w:pPr>
      <w:r w:rsidRPr="005F47DB">
        <w:rPr>
          <w:sz w:val="20"/>
          <w:szCs w:val="20"/>
        </w:rPr>
        <w:t xml:space="preserve">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EF77FE" w:rsidRPr="005F47DB" w:rsidRDefault="00EF77FE" w:rsidP="00EF77FE">
      <w:pPr>
        <w:tabs>
          <w:tab w:val="num" w:pos="0"/>
        </w:tabs>
        <w:ind w:firstLine="720"/>
        <w:jc w:val="both"/>
        <w:rPr>
          <w:sz w:val="20"/>
          <w:szCs w:val="20"/>
        </w:rPr>
      </w:pPr>
      <w:r w:rsidRPr="005F47DB">
        <w:rPr>
          <w:sz w:val="20"/>
          <w:szCs w:val="20"/>
        </w:rPr>
        <w:lastRenderedPageBreak/>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EF77FE" w:rsidRPr="005F47DB" w:rsidRDefault="00EF77FE" w:rsidP="00EF77FE">
      <w:pPr>
        <w:tabs>
          <w:tab w:val="num" w:pos="0"/>
        </w:tabs>
        <w:ind w:firstLine="720"/>
        <w:jc w:val="both"/>
        <w:rPr>
          <w:sz w:val="20"/>
          <w:szCs w:val="20"/>
        </w:rPr>
      </w:pPr>
      <w:r w:rsidRPr="005F47DB">
        <w:rPr>
          <w:sz w:val="20"/>
          <w:szCs w:val="20"/>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1B6DDE" w:rsidRDefault="00AD10A2" w:rsidP="00735769">
      <w:pPr>
        <w:tabs>
          <w:tab w:val="num" w:pos="0"/>
        </w:tabs>
        <w:jc w:val="both"/>
        <w:rPr>
          <w:b/>
          <w:bCs/>
          <w:color w:val="000000"/>
          <w:sz w:val="20"/>
          <w:szCs w:val="20"/>
        </w:rPr>
      </w:pPr>
      <w:r w:rsidRPr="00F91836">
        <w:rPr>
          <w:b/>
          <w:bCs/>
          <w:color w:val="000000"/>
          <w:sz w:val="20"/>
          <w:szCs w:val="20"/>
        </w:rPr>
        <w:t xml:space="preserve">               </w:t>
      </w:r>
      <w:r w:rsidR="003D2DB1" w:rsidRPr="00F91836">
        <w:rPr>
          <w:b/>
          <w:bCs/>
          <w:color w:val="000000"/>
          <w:sz w:val="20"/>
          <w:szCs w:val="20"/>
        </w:rPr>
        <w:t xml:space="preserve">                            </w:t>
      </w:r>
      <w:r w:rsidRPr="00F91836">
        <w:rPr>
          <w:b/>
          <w:bCs/>
          <w:color w:val="000000"/>
          <w:sz w:val="20"/>
          <w:szCs w:val="20"/>
        </w:rPr>
        <w:t xml:space="preserve">  </w:t>
      </w:r>
    </w:p>
    <w:p w:rsidR="00AD10A2" w:rsidRPr="00F91836" w:rsidRDefault="00AD10A2" w:rsidP="00735769">
      <w:pPr>
        <w:tabs>
          <w:tab w:val="num" w:pos="0"/>
        </w:tabs>
        <w:jc w:val="center"/>
        <w:rPr>
          <w:b/>
          <w:sz w:val="20"/>
          <w:szCs w:val="20"/>
        </w:rPr>
      </w:pPr>
      <w:r w:rsidRPr="00F91836">
        <w:rPr>
          <w:b/>
          <w:sz w:val="20"/>
          <w:szCs w:val="20"/>
        </w:rPr>
        <w:t>Требования к месту поставки</w:t>
      </w:r>
      <w:r w:rsidR="00531F75" w:rsidRPr="00F91836">
        <w:rPr>
          <w:b/>
          <w:sz w:val="20"/>
          <w:szCs w:val="20"/>
        </w:rPr>
        <w:t xml:space="preserve"> товара</w:t>
      </w:r>
    </w:p>
    <w:p w:rsidR="00F30C87" w:rsidRPr="00F91836" w:rsidRDefault="00F30C87" w:rsidP="00F30C87">
      <w:pPr>
        <w:tabs>
          <w:tab w:val="num" w:pos="0"/>
          <w:tab w:val="num" w:pos="180"/>
        </w:tabs>
        <w:ind w:firstLine="720"/>
        <w:rPr>
          <w:bCs/>
          <w:sz w:val="20"/>
          <w:szCs w:val="20"/>
        </w:rPr>
      </w:pPr>
      <w:r w:rsidRPr="00F91836">
        <w:rPr>
          <w:bCs/>
          <w:sz w:val="20"/>
          <w:szCs w:val="20"/>
        </w:rPr>
        <w:t>Поставка осуществляется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F30C87" w:rsidRPr="00253794" w:rsidRDefault="00F30C87" w:rsidP="00F30C87">
      <w:pPr>
        <w:tabs>
          <w:tab w:val="num" w:pos="0"/>
          <w:tab w:val="num" w:pos="180"/>
        </w:tabs>
        <w:spacing w:line="276" w:lineRule="auto"/>
        <w:ind w:firstLine="720"/>
        <w:jc w:val="both"/>
        <w:rPr>
          <w:bCs/>
          <w:color w:val="000000"/>
          <w:sz w:val="20"/>
          <w:szCs w:val="20"/>
        </w:rPr>
      </w:pPr>
      <w:r w:rsidRPr="00253794">
        <w:rPr>
          <w:bCs/>
          <w:color w:val="000000"/>
          <w:sz w:val="20"/>
          <w:szCs w:val="20"/>
        </w:rPr>
        <w:t>В стационарных пунктах выдачи Поставщика, расположенных на территории города Оренбурга. При этом в иных населенных пунктах на территории Оренбургской области могут располагаться дополнительные пункты выдачи.</w:t>
      </w:r>
    </w:p>
    <w:p w:rsidR="00661732" w:rsidRPr="00F91836" w:rsidRDefault="00661732" w:rsidP="00735769">
      <w:pPr>
        <w:tabs>
          <w:tab w:val="num" w:pos="0"/>
          <w:tab w:val="num" w:pos="180"/>
        </w:tabs>
        <w:ind w:firstLine="720"/>
        <w:jc w:val="both"/>
        <w:rPr>
          <w:bCs/>
          <w:sz w:val="20"/>
          <w:szCs w:val="20"/>
        </w:rPr>
      </w:pPr>
      <w:r w:rsidRPr="00F91836">
        <w:rPr>
          <w:bCs/>
          <w:sz w:val="20"/>
          <w:szCs w:val="20"/>
        </w:rPr>
        <w:t>Выбор места получения технического средства реабилитации осуществляется Получателем самостоятельно.</w:t>
      </w:r>
    </w:p>
    <w:p w:rsidR="00661732" w:rsidRPr="00F91836" w:rsidRDefault="00661732" w:rsidP="00735769">
      <w:pPr>
        <w:tabs>
          <w:tab w:val="num" w:pos="0"/>
          <w:tab w:val="num" w:pos="180"/>
        </w:tabs>
        <w:ind w:firstLine="720"/>
        <w:jc w:val="both"/>
        <w:rPr>
          <w:bCs/>
          <w:sz w:val="20"/>
          <w:szCs w:val="20"/>
        </w:rPr>
      </w:pPr>
      <w:r w:rsidRPr="00F91836">
        <w:rPr>
          <w:bCs/>
          <w:sz w:val="20"/>
          <w:szCs w:val="20"/>
        </w:rPr>
        <w:t>В случае выбора выдачи товара по месту жительства Получателя, Поставщик уведомляет Получателя о дате и времени выдачи товара по месту жительства Получателя. При этом время ожидания товара Получателем по месту жительства не превышает 6 часов со времени назначенного Поставщиком.</w:t>
      </w:r>
    </w:p>
    <w:p w:rsidR="00661732" w:rsidRPr="00F91836" w:rsidRDefault="00661732" w:rsidP="00735769">
      <w:pPr>
        <w:tabs>
          <w:tab w:val="num" w:pos="0"/>
          <w:tab w:val="num" w:pos="180"/>
        </w:tabs>
        <w:ind w:firstLine="720"/>
        <w:jc w:val="both"/>
        <w:rPr>
          <w:bCs/>
          <w:sz w:val="20"/>
          <w:szCs w:val="20"/>
        </w:rPr>
      </w:pPr>
      <w:r w:rsidRPr="00F91836">
        <w:rPr>
          <w:bCs/>
          <w:sz w:val="20"/>
          <w:szCs w:val="20"/>
        </w:rPr>
        <w:t>В случае выбора Получателем в качестве места получения технического средства пункт выдачи изделий, выдача технических средств реабилитации должна осуществляться непосредственно в пунктах выдачи изделий, в месте их нахождения.</w:t>
      </w:r>
    </w:p>
    <w:p w:rsidR="00661732" w:rsidRPr="00F91836" w:rsidRDefault="00661732" w:rsidP="00735769">
      <w:pPr>
        <w:tabs>
          <w:tab w:val="num" w:pos="0"/>
          <w:tab w:val="num" w:pos="180"/>
        </w:tabs>
        <w:ind w:firstLine="720"/>
        <w:jc w:val="both"/>
        <w:rPr>
          <w:bCs/>
          <w:sz w:val="20"/>
          <w:szCs w:val="20"/>
        </w:rPr>
      </w:pPr>
      <w:r w:rsidRPr="00F91836">
        <w:rPr>
          <w:bCs/>
          <w:sz w:val="20"/>
          <w:szCs w:val="20"/>
        </w:rPr>
        <w:t>Пункты выдачи изделий должны соответствовать следующим требованиям:</w:t>
      </w:r>
    </w:p>
    <w:p w:rsidR="00661732" w:rsidRPr="00F91836" w:rsidRDefault="00661732" w:rsidP="00735769">
      <w:pPr>
        <w:tabs>
          <w:tab w:val="num" w:pos="0"/>
          <w:tab w:val="num" w:pos="180"/>
        </w:tabs>
        <w:ind w:firstLine="720"/>
        <w:jc w:val="both"/>
        <w:rPr>
          <w:sz w:val="20"/>
          <w:szCs w:val="20"/>
        </w:rPr>
      </w:pPr>
      <w:r w:rsidRPr="00F91836">
        <w:rPr>
          <w:sz w:val="20"/>
          <w:szCs w:val="20"/>
        </w:rPr>
        <w:t>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должны находиться представители Поставщика для возможности предоставления инвалидам консультаций по техническим характеристикам изделий и подбора изделий с учетом индивидуальных особенностей каждого конкретного инвалида.</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изделий должны быть оборудованы средствами связи.</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изделий должны соответствовать стандартам и требованиям, предъявляемым к условиям хранения изделий медицинского и санитарно-гигиенического назначения для взрослых, страдающих недержанием.</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должны быть организованы согласно Приказа Министерства труда и социальной защиты населения РФ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D10A2" w:rsidRPr="00F91836" w:rsidRDefault="00AD10A2" w:rsidP="00735769">
      <w:pPr>
        <w:tabs>
          <w:tab w:val="num" w:pos="0"/>
          <w:tab w:val="num" w:pos="180"/>
        </w:tabs>
        <w:ind w:firstLine="720"/>
        <w:jc w:val="both"/>
        <w:rPr>
          <w:b/>
          <w:bCs/>
          <w:color w:val="000000"/>
          <w:sz w:val="20"/>
          <w:szCs w:val="20"/>
        </w:rPr>
      </w:pPr>
    </w:p>
    <w:p w:rsidR="00AD10A2" w:rsidRPr="00F91836" w:rsidRDefault="00AD10A2" w:rsidP="00735769">
      <w:pPr>
        <w:tabs>
          <w:tab w:val="num" w:pos="0"/>
          <w:tab w:val="num" w:pos="180"/>
        </w:tabs>
        <w:ind w:firstLine="720"/>
        <w:jc w:val="center"/>
        <w:rPr>
          <w:b/>
          <w:bCs/>
          <w:color w:val="000000"/>
          <w:sz w:val="20"/>
          <w:szCs w:val="20"/>
        </w:rPr>
      </w:pPr>
      <w:r w:rsidRPr="00F91836">
        <w:rPr>
          <w:b/>
          <w:bCs/>
          <w:color w:val="000000"/>
          <w:sz w:val="20"/>
          <w:szCs w:val="20"/>
        </w:rPr>
        <w:t>Требования к сроку поставки</w:t>
      </w:r>
      <w:r w:rsidR="00531F75" w:rsidRPr="00F91836">
        <w:rPr>
          <w:b/>
          <w:bCs/>
          <w:color w:val="000000"/>
          <w:sz w:val="20"/>
          <w:szCs w:val="20"/>
        </w:rPr>
        <w:t xml:space="preserve"> товара</w:t>
      </w:r>
    </w:p>
    <w:p w:rsidR="00AD10A2" w:rsidRPr="00F91836" w:rsidRDefault="00AD10A2" w:rsidP="00735769">
      <w:pPr>
        <w:tabs>
          <w:tab w:val="num" w:pos="0"/>
          <w:tab w:val="num" w:pos="180"/>
        </w:tabs>
        <w:ind w:firstLine="720"/>
        <w:jc w:val="both"/>
        <w:rPr>
          <w:b/>
          <w:bCs/>
          <w:color w:val="000000"/>
          <w:sz w:val="20"/>
          <w:szCs w:val="20"/>
        </w:rPr>
      </w:pPr>
    </w:p>
    <w:p w:rsidR="00702E3F" w:rsidRPr="00F91836" w:rsidRDefault="00AD10A2" w:rsidP="00735769">
      <w:pPr>
        <w:pStyle w:val="Style4"/>
        <w:widowControl/>
        <w:spacing w:line="240" w:lineRule="auto"/>
        <w:ind w:firstLine="691"/>
        <w:rPr>
          <w:rStyle w:val="FontStyle28"/>
          <w:sz w:val="20"/>
          <w:szCs w:val="20"/>
        </w:rPr>
      </w:pPr>
      <w:r w:rsidRPr="00F91836">
        <w:rPr>
          <w:rStyle w:val="FontStyle28"/>
          <w:sz w:val="20"/>
          <w:szCs w:val="20"/>
        </w:rPr>
        <w:t>Поставка Товара По</w:t>
      </w:r>
      <w:r w:rsidR="00C34C71">
        <w:rPr>
          <w:rStyle w:val="FontStyle28"/>
          <w:sz w:val="20"/>
          <w:szCs w:val="20"/>
        </w:rPr>
        <w:t>лучателем не должна превышать 20</w:t>
      </w:r>
      <w:r w:rsidRPr="00F91836">
        <w:rPr>
          <w:rStyle w:val="FontStyle28"/>
          <w:sz w:val="20"/>
          <w:szCs w:val="20"/>
        </w:rPr>
        <w:t xml:space="preserve">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F30C87" w:rsidRPr="00F91836" w:rsidRDefault="00F30C87" w:rsidP="00F30C87">
      <w:pPr>
        <w:pStyle w:val="Style4"/>
        <w:widowControl/>
        <w:spacing w:line="240" w:lineRule="auto"/>
        <w:ind w:firstLine="691"/>
        <w:rPr>
          <w:sz w:val="20"/>
          <w:szCs w:val="20"/>
        </w:rPr>
      </w:pPr>
      <w:r w:rsidRPr="00F91836">
        <w:rPr>
          <w:rStyle w:val="FontStyle28"/>
          <w:sz w:val="20"/>
          <w:szCs w:val="20"/>
        </w:rPr>
        <w:t>Срок поставки товара</w:t>
      </w:r>
      <w:r w:rsidRPr="00F91836">
        <w:rPr>
          <w:rStyle w:val="FontStyle28"/>
          <w:b/>
          <w:sz w:val="20"/>
          <w:szCs w:val="20"/>
        </w:rPr>
        <w:t xml:space="preserve"> </w:t>
      </w:r>
      <w:r w:rsidR="00600EB0">
        <w:rPr>
          <w:rStyle w:val="FontStyle27"/>
          <w:b w:val="0"/>
          <w:sz w:val="20"/>
          <w:szCs w:val="20"/>
        </w:rPr>
        <w:t xml:space="preserve">с </w:t>
      </w:r>
      <w:r w:rsidR="00600EB0" w:rsidRPr="00600EB0">
        <w:rPr>
          <w:rStyle w:val="FontStyle27"/>
          <w:b w:val="0"/>
          <w:sz w:val="20"/>
          <w:szCs w:val="20"/>
        </w:rPr>
        <w:t>момента подписания государственного</w:t>
      </w:r>
      <w:r w:rsidR="00B217EB">
        <w:rPr>
          <w:rStyle w:val="FontStyle27"/>
          <w:b w:val="0"/>
          <w:sz w:val="20"/>
          <w:szCs w:val="20"/>
        </w:rPr>
        <w:t xml:space="preserve"> контракта до 02</w:t>
      </w:r>
      <w:r w:rsidR="00600EB0" w:rsidRPr="00600EB0">
        <w:rPr>
          <w:rStyle w:val="FontStyle27"/>
          <w:b w:val="0"/>
          <w:sz w:val="20"/>
          <w:szCs w:val="20"/>
        </w:rPr>
        <w:t>.12.2024.</w:t>
      </w:r>
    </w:p>
    <w:p w:rsidR="00702E3F" w:rsidRPr="00F91836" w:rsidRDefault="00713D30" w:rsidP="00735769">
      <w:pPr>
        <w:pStyle w:val="Style4"/>
        <w:widowControl/>
        <w:spacing w:line="240" w:lineRule="auto"/>
        <w:ind w:firstLine="691"/>
        <w:rPr>
          <w:sz w:val="20"/>
          <w:szCs w:val="20"/>
        </w:rPr>
      </w:pPr>
      <w:r w:rsidRPr="00713D30">
        <w:rPr>
          <w:rStyle w:val="FontStyle27"/>
          <w:b w:val="0"/>
          <w:sz w:val="20"/>
          <w:szCs w:val="20"/>
        </w:rPr>
        <w:t xml:space="preserve">    </w:t>
      </w:r>
    </w:p>
    <w:p w:rsidR="00AD10A2" w:rsidRPr="00F91836" w:rsidRDefault="00D14B69" w:rsidP="00735769">
      <w:pPr>
        <w:pStyle w:val="Style4"/>
        <w:widowControl/>
        <w:spacing w:line="240" w:lineRule="auto"/>
        <w:ind w:firstLine="691"/>
        <w:rPr>
          <w:sz w:val="20"/>
          <w:szCs w:val="20"/>
        </w:rPr>
      </w:pPr>
      <w:r w:rsidRPr="00F91836">
        <w:rPr>
          <w:rStyle w:val="FontStyle28"/>
          <w:sz w:val="20"/>
          <w:szCs w:val="20"/>
        </w:rPr>
        <w:t xml:space="preserve"> </w:t>
      </w:r>
    </w:p>
    <w:p w:rsidR="003379C3" w:rsidRPr="00F91836" w:rsidRDefault="003379C3" w:rsidP="00735769">
      <w:pPr>
        <w:autoSpaceDE w:val="0"/>
        <w:autoSpaceDN w:val="0"/>
        <w:adjustRightInd w:val="0"/>
        <w:ind w:left="132"/>
        <w:jc w:val="center"/>
        <w:rPr>
          <w:b/>
          <w:sz w:val="20"/>
          <w:szCs w:val="20"/>
        </w:rPr>
      </w:pPr>
      <w:r w:rsidRPr="00F91836">
        <w:rPr>
          <w:b/>
          <w:sz w:val="20"/>
          <w:szCs w:val="20"/>
        </w:rPr>
        <w:t>Требования к сроку и (или) объему предоставленных гарантий качества товара</w:t>
      </w:r>
    </w:p>
    <w:p w:rsidR="003379C3" w:rsidRPr="00F91836" w:rsidRDefault="003379C3" w:rsidP="00735769">
      <w:pPr>
        <w:tabs>
          <w:tab w:val="num" w:pos="0"/>
        </w:tabs>
        <w:jc w:val="both"/>
        <w:rPr>
          <w:b/>
          <w:bCs/>
          <w:color w:val="000000"/>
          <w:sz w:val="20"/>
          <w:szCs w:val="20"/>
        </w:rPr>
      </w:pPr>
    </w:p>
    <w:p w:rsidR="008C110C" w:rsidRPr="008C110C" w:rsidRDefault="002056D4" w:rsidP="00735769">
      <w:pPr>
        <w:widowControl w:val="0"/>
        <w:shd w:val="clear" w:color="auto" w:fill="FFFFFF"/>
        <w:tabs>
          <w:tab w:val="left" w:pos="0"/>
        </w:tabs>
        <w:autoSpaceDE w:val="0"/>
        <w:autoSpaceDN w:val="0"/>
        <w:adjustRightInd w:val="0"/>
        <w:ind w:firstLine="709"/>
        <w:jc w:val="both"/>
        <w:rPr>
          <w:bCs/>
          <w:color w:val="000000"/>
          <w:sz w:val="20"/>
          <w:szCs w:val="20"/>
        </w:rPr>
      </w:pPr>
      <w:r w:rsidRPr="00F91836">
        <w:rPr>
          <w:bCs/>
          <w:color w:val="000000"/>
          <w:sz w:val="20"/>
          <w:szCs w:val="20"/>
        </w:rPr>
        <w:t xml:space="preserve">Специальные средства при нарушениях функций выделения – являются продукцией одноразовой, в связи с чем, срок предоставления гарантии качества не устанавливается, </w:t>
      </w:r>
      <w:r w:rsidR="008C110C" w:rsidRPr="008C110C">
        <w:rPr>
          <w:bCs/>
          <w:color w:val="000000"/>
          <w:sz w:val="20"/>
          <w:szCs w:val="20"/>
        </w:rPr>
        <w:t>но должен быть указан срок годности изделия и условия хранения.</w:t>
      </w:r>
    </w:p>
    <w:p w:rsidR="008C110C" w:rsidRDefault="008C110C" w:rsidP="00735769">
      <w:pPr>
        <w:widowControl w:val="0"/>
        <w:shd w:val="clear" w:color="auto" w:fill="FFFFFF"/>
        <w:tabs>
          <w:tab w:val="left" w:pos="0"/>
        </w:tabs>
        <w:autoSpaceDE w:val="0"/>
        <w:autoSpaceDN w:val="0"/>
        <w:adjustRightInd w:val="0"/>
        <w:ind w:firstLine="709"/>
        <w:jc w:val="both"/>
        <w:rPr>
          <w:bCs/>
          <w:color w:val="000000"/>
          <w:sz w:val="20"/>
          <w:szCs w:val="20"/>
        </w:rPr>
      </w:pPr>
      <w:r w:rsidRPr="008C110C">
        <w:rPr>
          <w:bCs/>
          <w:color w:val="000000"/>
          <w:sz w:val="20"/>
          <w:szCs w:val="20"/>
        </w:rPr>
        <w:t>Срок годности изделий и условия хранения д</w:t>
      </w:r>
      <w:r>
        <w:rPr>
          <w:bCs/>
          <w:color w:val="000000"/>
          <w:sz w:val="20"/>
          <w:szCs w:val="20"/>
        </w:rPr>
        <w:t>олжны быть указаны на упаковке.</w:t>
      </w:r>
    </w:p>
    <w:p w:rsidR="00AD10A2" w:rsidRPr="008C110C" w:rsidRDefault="008C110C" w:rsidP="00735769">
      <w:pPr>
        <w:widowControl w:val="0"/>
        <w:shd w:val="clear" w:color="auto" w:fill="FFFFFF"/>
        <w:tabs>
          <w:tab w:val="left" w:pos="0"/>
        </w:tabs>
        <w:autoSpaceDE w:val="0"/>
        <w:autoSpaceDN w:val="0"/>
        <w:adjustRightInd w:val="0"/>
        <w:jc w:val="both"/>
        <w:rPr>
          <w:bCs/>
          <w:color w:val="000000"/>
          <w:sz w:val="20"/>
          <w:szCs w:val="20"/>
        </w:rPr>
      </w:pPr>
      <w:r w:rsidRPr="008C110C">
        <w:rPr>
          <w:bCs/>
          <w:color w:val="000000"/>
          <w:sz w:val="20"/>
          <w:szCs w:val="20"/>
        </w:rPr>
        <w:t xml:space="preserve">     </w:t>
      </w:r>
      <w:r w:rsidR="004637D3">
        <w:rPr>
          <w:bCs/>
          <w:color w:val="000000"/>
          <w:sz w:val="20"/>
          <w:szCs w:val="20"/>
        </w:rPr>
        <w:t xml:space="preserve">         </w:t>
      </w:r>
      <w:r w:rsidRPr="008C110C">
        <w:rPr>
          <w:bCs/>
          <w:color w:val="000000"/>
          <w:sz w:val="20"/>
          <w:szCs w:val="20"/>
        </w:rPr>
        <w:t xml:space="preserve">Остаточный срок годности изделия на момент выдачи </w:t>
      </w:r>
      <w:r w:rsidR="002C55DD">
        <w:rPr>
          <w:bCs/>
          <w:color w:val="000000"/>
          <w:sz w:val="20"/>
          <w:szCs w:val="20"/>
        </w:rPr>
        <w:t xml:space="preserve">Получателю </w:t>
      </w:r>
      <w:r w:rsidRPr="008C110C">
        <w:rPr>
          <w:bCs/>
          <w:color w:val="000000"/>
          <w:sz w:val="20"/>
          <w:szCs w:val="20"/>
        </w:rPr>
        <w:t xml:space="preserve">должен составлять не менее 1 года. </w:t>
      </w:r>
    </w:p>
    <w:p w:rsidR="008C110C" w:rsidRDefault="008C110C" w:rsidP="00735769">
      <w:pPr>
        <w:ind w:firstLine="720"/>
        <w:jc w:val="both"/>
        <w:rPr>
          <w:b/>
          <w:bCs/>
          <w:color w:val="000000"/>
          <w:sz w:val="20"/>
          <w:szCs w:val="20"/>
        </w:rPr>
      </w:pPr>
    </w:p>
    <w:p w:rsidR="00D17A9F" w:rsidRPr="00F91836" w:rsidRDefault="00D17A9F" w:rsidP="00735769">
      <w:pPr>
        <w:ind w:firstLine="720"/>
        <w:jc w:val="center"/>
        <w:rPr>
          <w:b/>
          <w:bCs/>
          <w:color w:val="000000"/>
          <w:sz w:val="20"/>
          <w:szCs w:val="20"/>
        </w:rPr>
      </w:pPr>
      <w:r w:rsidRPr="00F91836">
        <w:rPr>
          <w:b/>
          <w:bCs/>
          <w:color w:val="000000"/>
          <w:sz w:val="20"/>
          <w:szCs w:val="20"/>
        </w:rPr>
        <w:t>Обоснование использования показателей, требований, условных обозначений и терминологии</w:t>
      </w:r>
    </w:p>
    <w:p w:rsidR="00D17A9F" w:rsidRPr="00F91836" w:rsidRDefault="00D17A9F" w:rsidP="00735769">
      <w:pPr>
        <w:ind w:firstLine="720"/>
        <w:jc w:val="center"/>
        <w:rPr>
          <w:bCs/>
          <w:color w:val="000000"/>
          <w:sz w:val="20"/>
          <w:szCs w:val="20"/>
        </w:rPr>
      </w:pPr>
    </w:p>
    <w:p w:rsidR="00B25E4A" w:rsidRPr="00F91836" w:rsidRDefault="00D17A9F" w:rsidP="00EF77FE">
      <w:pPr>
        <w:ind w:firstLine="720"/>
        <w:jc w:val="both"/>
        <w:rPr>
          <w:bCs/>
          <w:color w:val="000000"/>
          <w:sz w:val="20"/>
          <w:szCs w:val="20"/>
        </w:rPr>
      </w:pPr>
      <w:r w:rsidRPr="00F91836">
        <w:rPr>
          <w:bCs/>
          <w:color w:val="000000"/>
          <w:sz w:val="20"/>
          <w:szCs w:val="20"/>
        </w:rPr>
        <w:t>Понятия, требования</w:t>
      </w:r>
      <w:r w:rsidR="00554E5B" w:rsidRPr="00F91836">
        <w:rPr>
          <w:bCs/>
          <w:color w:val="000000"/>
          <w:sz w:val="20"/>
          <w:szCs w:val="20"/>
        </w:rPr>
        <w:t>, показатели, условные обозначения</w:t>
      </w:r>
      <w:r w:rsidRPr="00F91836">
        <w:rPr>
          <w:bCs/>
          <w:color w:val="000000"/>
          <w:sz w:val="20"/>
          <w:szCs w:val="20"/>
        </w:rPr>
        <w:t xml:space="preserve"> и терминология приведена в соответствии с Приказом Министерства труда и социальной защиты Российской Федерации № </w:t>
      </w:r>
      <w:r w:rsidR="005D44A0">
        <w:rPr>
          <w:bCs/>
          <w:color w:val="000000"/>
          <w:sz w:val="20"/>
          <w:szCs w:val="20"/>
        </w:rPr>
        <w:t>342</w:t>
      </w:r>
      <w:r w:rsidRPr="00F91836">
        <w:rPr>
          <w:bCs/>
          <w:color w:val="000000"/>
          <w:sz w:val="20"/>
          <w:szCs w:val="20"/>
        </w:rPr>
        <w:t xml:space="preserve">н от </w:t>
      </w:r>
      <w:r w:rsidR="005D44A0">
        <w:rPr>
          <w:bCs/>
          <w:color w:val="000000"/>
          <w:sz w:val="20"/>
          <w:szCs w:val="20"/>
        </w:rPr>
        <w:t>27  апреля 2023</w:t>
      </w:r>
      <w:r w:rsidR="00521336" w:rsidRPr="00F91836">
        <w:rPr>
          <w:bCs/>
          <w:color w:val="000000"/>
          <w:sz w:val="20"/>
          <w:szCs w:val="20"/>
        </w:rPr>
        <w:t>г.</w:t>
      </w:r>
      <w:r w:rsidRPr="00F91836">
        <w:rPr>
          <w:bCs/>
          <w:color w:val="000000"/>
          <w:sz w:val="20"/>
          <w:szCs w:val="20"/>
        </w:rPr>
        <w:t xml:space="preserve"> </w:t>
      </w:r>
      <w:r w:rsidR="002056D4" w:rsidRPr="00F91836">
        <w:rPr>
          <w:bCs/>
          <w:color w:val="000000"/>
          <w:sz w:val="20"/>
          <w:szCs w:val="20"/>
        </w:rPr>
        <w:t xml:space="preserve">"Об утверждении перечня показаний и противопоказаний для обеспечения инвалидов техническими средствами реабилитации", Приказом Министерства труда и социальной защиты Российской Федерации № 86н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w:t>
      </w:r>
      <w:r w:rsidR="00F91836" w:rsidRPr="00F91836">
        <w:rPr>
          <w:bCs/>
          <w:color w:val="000000"/>
          <w:sz w:val="20"/>
          <w:szCs w:val="20"/>
        </w:rPr>
        <w:t>2347-Р»  и ИПРА (ИПР) инвалидов.</w:t>
      </w:r>
    </w:p>
    <w:p w:rsidR="00D112A8" w:rsidRPr="00F91836" w:rsidRDefault="00D112A8" w:rsidP="00D112A8">
      <w:pPr>
        <w:pStyle w:val="Standard"/>
        <w:tabs>
          <w:tab w:val="left" w:pos="708"/>
        </w:tabs>
        <w:autoSpaceDE w:val="0"/>
        <w:snapToGrid w:val="0"/>
        <w:jc w:val="both"/>
        <w:rPr>
          <w:rFonts w:cs="Times New Roman"/>
          <w:kern w:val="3"/>
          <w:sz w:val="20"/>
          <w:szCs w:val="20"/>
          <w:lang w:val="ru-RU"/>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138"/>
        <w:gridCol w:w="3325"/>
        <w:gridCol w:w="1500"/>
        <w:gridCol w:w="1173"/>
      </w:tblGrid>
      <w:tr w:rsidR="00D45CDB" w:rsidRPr="00F91836" w:rsidTr="00B217EB">
        <w:trPr>
          <w:trHeight w:val="1127"/>
        </w:trPr>
        <w:tc>
          <w:tcPr>
            <w:tcW w:w="2094" w:type="dxa"/>
            <w:shd w:val="clear" w:color="auto" w:fill="auto"/>
          </w:tcPr>
          <w:p w:rsidR="00D45CDB" w:rsidRPr="00F91836" w:rsidRDefault="00D45CDB" w:rsidP="00C936C8">
            <w:pPr>
              <w:widowControl w:val="0"/>
              <w:shd w:val="clear" w:color="auto" w:fill="FFFFFF"/>
              <w:ind w:left="-220"/>
              <w:jc w:val="center"/>
              <w:rPr>
                <w:b/>
                <w:sz w:val="20"/>
                <w:szCs w:val="20"/>
              </w:rPr>
            </w:pPr>
            <w:r w:rsidRPr="00F91836">
              <w:rPr>
                <w:b/>
                <w:sz w:val="20"/>
                <w:szCs w:val="20"/>
              </w:rPr>
              <w:t xml:space="preserve">Наименование объекта закупки </w:t>
            </w:r>
          </w:p>
          <w:p w:rsidR="00D45CDB" w:rsidRPr="00F91836" w:rsidRDefault="00D45CDB" w:rsidP="00C936C8">
            <w:pPr>
              <w:ind w:left="-70" w:right="-108"/>
              <w:jc w:val="center"/>
              <w:rPr>
                <w:b/>
                <w:sz w:val="20"/>
                <w:szCs w:val="20"/>
              </w:rPr>
            </w:pPr>
            <w:r w:rsidRPr="00F91836">
              <w:rPr>
                <w:b/>
                <w:sz w:val="20"/>
                <w:szCs w:val="20"/>
              </w:rPr>
              <w:t>по КТРУ/ОКПД 2, код</w:t>
            </w:r>
          </w:p>
        </w:tc>
        <w:tc>
          <w:tcPr>
            <w:tcW w:w="2138" w:type="dxa"/>
            <w:shd w:val="clear" w:color="auto" w:fill="auto"/>
          </w:tcPr>
          <w:p w:rsidR="00D45CDB" w:rsidRPr="00F91836" w:rsidRDefault="00D45CDB" w:rsidP="00394EF6">
            <w:pPr>
              <w:ind w:left="-108" w:right="-108"/>
              <w:jc w:val="center"/>
              <w:rPr>
                <w:b/>
                <w:sz w:val="20"/>
                <w:szCs w:val="20"/>
              </w:rPr>
            </w:pPr>
            <w:r w:rsidRPr="00F91836">
              <w:rPr>
                <w:b/>
                <w:sz w:val="20"/>
                <w:szCs w:val="20"/>
              </w:rPr>
              <w:t xml:space="preserve">Наименование объекта закупки </w:t>
            </w:r>
            <w:r w:rsidR="00394EF6">
              <w:rPr>
                <w:b/>
                <w:sz w:val="20"/>
                <w:szCs w:val="20"/>
              </w:rPr>
              <w:t xml:space="preserve">и номер вида ТСР по </w:t>
            </w:r>
            <w:r w:rsidRPr="00F91836">
              <w:rPr>
                <w:b/>
                <w:sz w:val="20"/>
                <w:szCs w:val="20"/>
              </w:rPr>
              <w:t xml:space="preserve">классификации </w:t>
            </w:r>
          </w:p>
        </w:tc>
        <w:tc>
          <w:tcPr>
            <w:tcW w:w="3325" w:type="dxa"/>
            <w:shd w:val="clear" w:color="auto" w:fill="auto"/>
          </w:tcPr>
          <w:p w:rsidR="00D45CDB" w:rsidRPr="00F91836" w:rsidRDefault="00D45CDB" w:rsidP="00A97ECC">
            <w:pPr>
              <w:pStyle w:val="Standard"/>
              <w:tabs>
                <w:tab w:val="left" w:pos="708"/>
              </w:tabs>
              <w:autoSpaceDE w:val="0"/>
              <w:snapToGrid w:val="0"/>
              <w:jc w:val="center"/>
              <w:rPr>
                <w:rFonts w:cs="Times New Roman"/>
                <w:b/>
                <w:kern w:val="3"/>
                <w:sz w:val="20"/>
                <w:szCs w:val="20"/>
                <w:lang w:val="ru-RU"/>
              </w:rPr>
            </w:pPr>
            <w:r w:rsidRPr="00F91836">
              <w:rPr>
                <w:rFonts w:cs="Times New Roman"/>
                <w:b/>
                <w:kern w:val="3"/>
                <w:sz w:val="20"/>
                <w:szCs w:val="20"/>
                <w:lang w:val="ru-RU"/>
              </w:rPr>
              <w:t>Технические характеристики</w:t>
            </w:r>
          </w:p>
        </w:tc>
        <w:tc>
          <w:tcPr>
            <w:tcW w:w="1500" w:type="dxa"/>
          </w:tcPr>
          <w:p w:rsidR="00D45CDB" w:rsidRDefault="00D45CDB" w:rsidP="00D45CDB">
            <w:pPr>
              <w:pStyle w:val="Standard"/>
              <w:tabs>
                <w:tab w:val="left" w:pos="708"/>
              </w:tabs>
              <w:autoSpaceDE w:val="0"/>
              <w:snapToGrid w:val="0"/>
              <w:jc w:val="center"/>
              <w:rPr>
                <w:rFonts w:cs="Times New Roman"/>
                <w:b/>
                <w:sz w:val="20"/>
                <w:szCs w:val="20"/>
                <w:lang w:val="ru-RU" w:eastAsia="en-US"/>
              </w:rPr>
            </w:pPr>
            <w:r>
              <w:rPr>
                <w:rFonts w:cs="Times New Roman"/>
                <w:b/>
                <w:sz w:val="20"/>
                <w:szCs w:val="20"/>
                <w:lang w:val="ru-RU" w:eastAsia="en-US"/>
              </w:rPr>
              <w:t>Объем/Размер</w:t>
            </w:r>
          </w:p>
        </w:tc>
        <w:tc>
          <w:tcPr>
            <w:tcW w:w="1173" w:type="dxa"/>
          </w:tcPr>
          <w:p w:rsidR="00D45CDB" w:rsidRPr="00F91836" w:rsidRDefault="00D45CDB" w:rsidP="00D45CDB">
            <w:pPr>
              <w:pStyle w:val="Standard"/>
              <w:tabs>
                <w:tab w:val="left" w:pos="708"/>
              </w:tabs>
              <w:autoSpaceDE w:val="0"/>
              <w:snapToGrid w:val="0"/>
              <w:jc w:val="center"/>
              <w:rPr>
                <w:rFonts w:cs="Times New Roman"/>
                <w:b/>
                <w:kern w:val="3"/>
                <w:sz w:val="20"/>
                <w:szCs w:val="20"/>
                <w:lang w:val="ru-RU"/>
              </w:rPr>
            </w:pPr>
            <w:r>
              <w:rPr>
                <w:rFonts w:cs="Times New Roman"/>
                <w:b/>
                <w:sz w:val="20"/>
                <w:szCs w:val="20"/>
                <w:lang w:val="ru-RU" w:eastAsia="en-US"/>
              </w:rPr>
              <w:t>Единица измерения</w:t>
            </w:r>
            <w:r w:rsidRPr="00F91836">
              <w:rPr>
                <w:rFonts w:cs="Times New Roman"/>
                <w:b/>
                <w:sz w:val="20"/>
                <w:szCs w:val="20"/>
                <w:lang w:eastAsia="en-US"/>
              </w:rPr>
              <w:t xml:space="preserve"> </w:t>
            </w:r>
          </w:p>
        </w:tc>
      </w:tr>
      <w:tr w:rsidR="00334AF6" w:rsidRPr="00F91836" w:rsidTr="00334AF6">
        <w:trPr>
          <w:trHeight w:val="870"/>
        </w:trPr>
        <w:tc>
          <w:tcPr>
            <w:tcW w:w="2094" w:type="dxa"/>
            <w:vMerge w:val="restart"/>
            <w:shd w:val="clear" w:color="auto" w:fill="auto"/>
          </w:tcPr>
          <w:p w:rsidR="00334AF6" w:rsidRPr="00E746BF" w:rsidRDefault="00334AF6" w:rsidP="00FC0F5B">
            <w:pPr>
              <w:rPr>
                <w:rStyle w:val="FontStyle28"/>
                <w:sz w:val="20"/>
                <w:szCs w:val="20"/>
              </w:rPr>
            </w:pPr>
            <w:r w:rsidRPr="00E746BF">
              <w:rPr>
                <w:sz w:val="20"/>
                <w:szCs w:val="20"/>
              </w:rPr>
              <w:t xml:space="preserve">32.50.13.110-00003233- Катетер </w:t>
            </w:r>
            <w:proofErr w:type="spellStart"/>
            <w:r w:rsidRPr="00E746BF">
              <w:rPr>
                <w:sz w:val="20"/>
                <w:szCs w:val="20"/>
              </w:rPr>
              <w:t>нефростомический</w:t>
            </w:r>
            <w:proofErr w:type="spellEnd"/>
          </w:p>
        </w:tc>
        <w:tc>
          <w:tcPr>
            <w:tcW w:w="2138" w:type="dxa"/>
            <w:vMerge w:val="restart"/>
            <w:shd w:val="clear" w:color="auto" w:fill="auto"/>
          </w:tcPr>
          <w:p w:rsidR="00334AF6" w:rsidRPr="00BF2DB7" w:rsidRDefault="00334AF6" w:rsidP="00852291">
            <w:pPr>
              <w:widowControl w:val="0"/>
              <w:jc w:val="center"/>
              <w:rPr>
                <w:sz w:val="20"/>
                <w:szCs w:val="20"/>
              </w:rPr>
            </w:pPr>
            <w:r w:rsidRPr="00BF2DB7">
              <w:rPr>
                <w:sz w:val="20"/>
                <w:szCs w:val="20"/>
              </w:rPr>
              <w:t xml:space="preserve">21-01-25 Система (с катетером) для </w:t>
            </w:r>
            <w:proofErr w:type="spellStart"/>
            <w:r w:rsidRPr="00BF2DB7">
              <w:rPr>
                <w:sz w:val="20"/>
                <w:szCs w:val="20"/>
              </w:rPr>
              <w:t>нефростомии</w:t>
            </w:r>
            <w:proofErr w:type="spellEnd"/>
          </w:p>
        </w:tc>
        <w:tc>
          <w:tcPr>
            <w:tcW w:w="3325" w:type="dxa"/>
            <w:vMerge w:val="restart"/>
            <w:shd w:val="clear" w:color="auto" w:fill="auto"/>
          </w:tcPr>
          <w:p w:rsidR="00334AF6" w:rsidRPr="00BF2DB7" w:rsidRDefault="00334AF6" w:rsidP="00920684">
            <w:pPr>
              <w:keepNext/>
              <w:rPr>
                <w:sz w:val="20"/>
                <w:szCs w:val="20"/>
              </w:rPr>
            </w:pPr>
            <w:r>
              <w:rPr>
                <w:sz w:val="20"/>
                <w:szCs w:val="20"/>
              </w:rPr>
              <w:t xml:space="preserve">Сменный набор для </w:t>
            </w:r>
            <w:proofErr w:type="spellStart"/>
            <w:r>
              <w:rPr>
                <w:sz w:val="20"/>
                <w:szCs w:val="20"/>
              </w:rPr>
              <w:t>чрез</w:t>
            </w:r>
            <w:r w:rsidRPr="00BF2DB7">
              <w:rPr>
                <w:sz w:val="20"/>
                <w:szCs w:val="20"/>
              </w:rPr>
              <w:t>кожного</w:t>
            </w:r>
            <w:proofErr w:type="spellEnd"/>
            <w:r w:rsidRPr="00BF2DB7">
              <w:rPr>
                <w:sz w:val="20"/>
                <w:szCs w:val="20"/>
              </w:rPr>
              <w:t xml:space="preserve"> дренирования - кат</w:t>
            </w:r>
            <w:r>
              <w:rPr>
                <w:sz w:val="20"/>
                <w:szCs w:val="20"/>
              </w:rPr>
              <w:t xml:space="preserve">етер </w:t>
            </w:r>
            <w:proofErr w:type="spellStart"/>
            <w:r>
              <w:rPr>
                <w:sz w:val="20"/>
                <w:szCs w:val="20"/>
              </w:rPr>
              <w:t>однопетлевой</w:t>
            </w:r>
            <w:proofErr w:type="spellEnd"/>
            <w:r>
              <w:rPr>
                <w:sz w:val="20"/>
                <w:szCs w:val="20"/>
              </w:rPr>
              <w:t xml:space="preserve">, </w:t>
            </w:r>
            <w:r w:rsidRPr="00BF2DB7">
              <w:rPr>
                <w:sz w:val="20"/>
                <w:szCs w:val="20"/>
              </w:rPr>
              <w:t xml:space="preserve">не менее 3-х </w:t>
            </w:r>
            <w:r w:rsidRPr="00BF2DB7">
              <w:rPr>
                <w:sz w:val="20"/>
                <w:szCs w:val="20"/>
              </w:rPr>
              <w:lastRenderedPageBreak/>
              <w:t xml:space="preserve">отверстий на петле, торцевое отверстие, градуировка на катетере по сантиметрам, (материал термопластичный </w:t>
            </w:r>
            <w:proofErr w:type="spellStart"/>
            <w:r w:rsidRPr="00BF2DB7">
              <w:rPr>
                <w:sz w:val="20"/>
                <w:szCs w:val="20"/>
              </w:rPr>
              <w:t>рентгеноконтрастный</w:t>
            </w:r>
            <w:proofErr w:type="spellEnd"/>
            <w:r w:rsidRPr="00BF2DB7">
              <w:rPr>
                <w:sz w:val="20"/>
                <w:szCs w:val="20"/>
              </w:rPr>
              <w:t xml:space="preserve"> полимер, имеющий двухслойную структуру-внутренний слой жесткий, для лучшего проведения по проводнику, наружный слой мягкий), переходник для соединения катетера с мешком для сбора мочи.</w:t>
            </w:r>
          </w:p>
        </w:tc>
        <w:tc>
          <w:tcPr>
            <w:tcW w:w="1500" w:type="dxa"/>
          </w:tcPr>
          <w:p w:rsidR="00334AF6" w:rsidRPr="00D45CDB" w:rsidRDefault="00334AF6" w:rsidP="00334AF6">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lastRenderedPageBreak/>
              <w:t>Ch</w:t>
            </w:r>
            <w:proofErr w:type="spellEnd"/>
            <w:r w:rsidRPr="00F14C1D">
              <w:rPr>
                <w:rStyle w:val="FontStyle28"/>
                <w:sz w:val="20"/>
                <w:szCs w:val="20"/>
              </w:rPr>
              <w:t xml:space="preserve"> </w:t>
            </w:r>
            <w:r>
              <w:rPr>
                <w:rStyle w:val="FontStyle28"/>
                <w:sz w:val="20"/>
                <w:szCs w:val="20"/>
              </w:rPr>
              <w:t>8</w:t>
            </w:r>
          </w:p>
        </w:tc>
        <w:tc>
          <w:tcPr>
            <w:tcW w:w="1173" w:type="dxa"/>
          </w:tcPr>
          <w:p w:rsidR="00334AF6" w:rsidRPr="00D45CDB" w:rsidRDefault="00334AF6" w:rsidP="00920684">
            <w:pPr>
              <w:pStyle w:val="Standard"/>
              <w:tabs>
                <w:tab w:val="left" w:pos="708"/>
              </w:tabs>
              <w:autoSpaceDE w:val="0"/>
              <w:snapToGrid w:val="0"/>
              <w:jc w:val="center"/>
              <w:rPr>
                <w:rFonts w:cs="Times New Roman"/>
                <w:kern w:val="3"/>
                <w:sz w:val="20"/>
                <w:szCs w:val="20"/>
                <w:lang w:val="ru-RU"/>
              </w:rPr>
            </w:pPr>
          </w:p>
          <w:p w:rsidR="00334AF6" w:rsidRPr="0010104E" w:rsidRDefault="00334AF6"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2</w:t>
            </w:r>
          </w:p>
        </w:tc>
      </w:tr>
      <w:tr w:rsidR="00334AF6" w:rsidRPr="00F91836" w:rsidTr="00334AF6">
        <w:trPr>
          <w:trHeight w:val="1185"/>
        </w:trPr>
        <w:tc>
          <w:tcPr>
            <w:tcW w:w="2094" w:type="dxa"/>
            <w:vMerge/>
            <w:shd w:val="clear" w:color="auto" w:fill="auto"/>
          </w:tcPr>
          <w:p w:rsidR="00334AF6" w:rsidRPr="00E746BF" w:rsidRDefault="00334AF6" w:rsidP="00FC0F5B">
            <w:pPr>
              <w:rPr>
                <w:sz w:val="20"/>
                <w:szCs w:val="20"/>
              </w:rPr>
            </w:pPr>
          </w:p>
        </w:tc>
        <w:tc>
          <w:tcPr>
            <w:tcW w:w="2138" w:type="dxa"/>
            <w:vMerge/>
            <w:shd w:val="clear" w:color="auto" w:fill="auto"/>
          </w:tcPr>
          <w:p w:rsidR="00334AF6" w:rsidRPr="00BF2DB7" w:rsidRDefault="00334AF6" w:rsidP="00852291">
            <w:pPr>
              <w:widowControl w:val="0"/>
              <w:jc w:val="center"/>
              <w:rPr>
                <w:sz w:val="20"/>
                <w:szCs w:val="20"/>
              </w:rPr>
            </w:pPr>
          </w:p>
        </w:tc>
        <w:tc>
          <w:tcPr>
            <w:tcW w:w="3325" w:type="dxa"/>
            <w:vMerge/>
            <w:shd w:val="clear" w:color="auto" w:fill="auto"/>
          </w:tcPr>
          <w:p w:rsidR="00334AF6" w:rsidRDefault="00334AF6" w:rsidP="00920684">
            <w:pPr>
              <w:keepNext/>
              <w:rPr>
                <w:sz w:val="20"/>
                <w:szCs w:val="20"/>
              </w:rPr>
            </w:pPr>
          </w:p>
        </w:tc>
        <w:tc>
          <w:tcPr>
            <w:tcW w:w="1500" w:type="dxa"/>
          </w:tcPr>
          <w:p w:rsidR="00334AF6" w:rsidRPr="00F14C1D" w:rsidRDefault="00334AF6" w:rsidP="00334AF6">
            <w:pPr>
              <w:pStyle w:val="Standard"/>
              <w:tabs>
                <w:tab w:val="left" w:pos="708"/>
              </w:tabs>
              <w:autoSpaceDE w:val="0"/>
              <w:snapToGrid w:val="0"/>
              <w:jc w:val="center"/>
              <w:rPr>
                <w:rStyle w:val="FontStyle28"/>
                <w:sz w:val="20"/>
                <w:szCs w:val="20"/>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10</w:t>
            </w:r>
          </w:p>
        </w:tc>
        <w:tc>
          <w:tcPr>
            <w:tcW w:w="1173" w:type="dxa"/>
          </w:tcPr>
          <w:p w:rsidR="00334AF6" w:rsidRPr="00D45CDB" w:rsidRDefault="00334AF6" w:rsidP="00920684">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147</w:t>
            </w:r>
          </w:p>
        </w:tc>
      </w:tr>
      <w:tr w:rsidR="00334AF6" w:rsidRPr="00F91836" w:rsidTr="00334AF6">
        <w:trPr>
          <w:trHeight w:val="795"/>
        </w:trPr>
        <w:tc>
          <w:tcPr>
            <w:tcW w:w="2094" w:type="dxa"/>
            <w:vMerge/>
            <w:shd w:val="clear" w:color="auto" w:fill="auto"/>
          </w:tcPr>
          <w:p w:rsidR="00334AF6" w:rsidRPr="00E746BF" w:rsidRDefault="00334AF6" w:rsidP="00FC0F5B">
            <w:pPr>
              <w:rPr>
                <w:sz w:val="20"/>
                <w:szCs w:val="20"/>
              </w:rPr>
            </w:pPr>
          </w:p>
        </w:tc>
        <w:tc>
          <w:tcPr>
            <w:tcW w:w="2138" w:type="dxa"/>
            <w:vMerge/>
            <w:shd w:val="clear" w:color="auto" w:fill="auto"/>
          </w:tcPr>
          <w:p w:rsidR="00334AF6" w:rsidRPr="00BF2DB7" w:rsidRDefault="00334AF6" w:rsidP="00852291">
            <w:pPr>
              <w:widowControl w:val="0"/>
              <w:jc w:val="center"/>
              <w:rPr>
                <w:sz w:val="20"/>
                <w:szCs w:val="20"/>
              </w:rPr>
            </w:pPr>
          </w:p>
        </w:tc>
        <w:tc>
          <w:tcPr>
            <w:tcW w:w="3325" w:type="dxa"/>
            <w:vMerge/>
            <w:shd w:val="clear" w:color="auto" w:fill="auto"/>
          </w:tcPr>
          <w:p w:rsidR="00334AF6" w:rsidRDefault="00334AF6" w:rsidP="00920684">
            <w:pPr>
              <w:keepNext/>
              <w:rPr>
                <w:sz w:val="20"/>
                <w:szCs w:val="20"/>
              </w:rPr>
            </w:pPr>
          </w:p>
        </w:tc>
        <w:tc>
          <w:tcPr>
            <w:tcW w:w="1500" w:type="dxa"/>
          </w:tcPr>
          <w:p w:rsidR="00334AF6" w:rsidRPr="00F14C1D" w:rsidRDefault="00334AF6" w:rsidP="00334AF6">
            <w:pPr>
              <w:pStyle w:val="Standard"/>
              <w:tabs>
                <w:tab w:val="left" w:pos="708"/>
              </w:tabs>
              <w:autoSpaceDE w:val="0"/>
              <w:snapToGrid w:val="0"/>
              <w:jc w:val="center"/>
              <w:rPr>
                <w:rStyle w:val="FontStyle28"/>
                <w:sz w:val="20"/>
                <w:szCs w:val="20"/>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12</w:t>
            </w:r>
          </w:p>
        </w:tc>
        <w:tc>
          <w:tcPr>
            <w:tcW w:w="1173" w:type="dxa"/>
          </w:tcPr>
          <w:p w:rsidR="00334AF6" w:rsidRPr="00D45CDB" w:rsidRDefault="00334AF6" w:rsidP="00920684">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29</w:t>
            </w:r>
          </w:p>
        </w:tc>
      </w:tr>
      <w:tr w:rsidR="00334AF6" w:rsidRPr="00F91836" w:rsidTr="00B217EB">
        <w:trPr>
          <w:trHeight w:val="555"/>
        </w:trPr>
        <w:tc>
          <w:tcPr>
            <w:tcW w:w="2094" w:type="dxa"/>
            <w:vMerge/>
            <w:shd w:val="clear" w:color="auto" w:fill="auto"/>
          </w:tcPr>
          <w:p w:rsidR="00334AF6" w:rsidRPr="00E746BF" w:rsidRDefault="00334AF6" w:rsidP="00FC0F5B">
            <w:pPr>
              <w:rPr>
                <w:sz w:val="20"/>
                <w:szCs w:val="20"/>
              </w:rPr>
            </w:pPr>
          </w:p>
        </w:tc>
        <w:tc>
          <w:tcPr>
            <w:tcW w:w="2138" w:type="dxa"/>
            <w:vMerge/>
            <w:shd w:val="clear" w:color="auto" w:fill="auto"/>
          </w:tcPr>
          <w:p w:rsidR="00334AF6" w:rsidRPr="00BF2DB7" w:rsidRDefault="00334AF6" w:rsidP="00852291">
            <w:pPr>
              <w:widowControl w:val="0"/>
              <w:jc w:val="center"/>
              <w:rPr>
                <w:sz w:val="20"/>
                <w:szCs w:val="20"/>
              </w:rPr>
            </w:pPr>
          </w:p>
        </w:tc>
        <w:tc>
          <w:tcPr>
            <w:tcW w:w="3325" w:type="dxa"/>
            <w:vMerge/>
            <w:shd w:val="clear" w:color="auto" w:fill="auto"/>
          </w:tcPr>
          <w:p w:rsidR="00334AF6" w:rsidRDefault="00334AF6" w:rsidP="00920684">
            <w:pPr>
              <w:keepNext/>
              <w:rPr>
                <w:sz w:val="20"/>
                <w:szCs w:val="20"/>
              </w:rPr>
            </w:pPr>
          </w:p>
        </w:tc>
        <w:tc>
          <w:tcPr>
            <w:tcW w:w="1500" w:type="dxa"/>
          </w:tcPr>
          <w:p w:rsidR="00334AF6" w:rsidRPr="00F14C1D" w:rsidRDefault="00334AF6" w:rsidP="00334AF6">
            <w:pPr>
              <w:pStyle w:val="Standard"/>
              <w:tabs>
                <w:tab w:val="left" w:pos="708"/>
              </w:tabs>
              <w:autoSpaceDE w:val="0"/>
              <w:snapToGrid w:val="0"/>
              <w:jc w:val="center"/>
              <w:rPr>
                <w:rStyle w:val="FontStyle28"/>
                <w:sz w:val="20"/>
                <w:szCs w:val="20"/>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16</w:t>
            </w:r>
          </w:p>
        </w:tc>
        <w:tc>
          <w:tcPr>
            <w:tcW w:w="1173" w:type="dxa"/>
          </w:tcPr>
          <w:p w:rsidR="00334AF6" w:rsidRPr="00D45CDB" w:rsidRDefault="00334AF6" w:rsidP="00920684">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w:t>
            </w:r>
          </w:p>
        </w:tc>
      </w:tr>
      <w:tr w:rsidR="00334AF6" w:rsidRPr="00F91836" w:rsidTr="00334AF6">
        <w:trPr>
          <w:trHeight w:val="1005"/>
        </w:trPr>
        <w:tc>
          <w:tcPr>
            <w:tcW w:w="2094" w:type="dxa"/>
            <w:vMerge w:val="restart"/>
            <w:shd w:val="clear" w:color="auto" w:fill="auto"/>
          </w:tcPr>
          <w:p w:rsidR="00334AF6" w:rsidRPr="00BF2DB7" w:rsidRDefault="00334AF6" w:rsidP="00FC0F5B">
            <w:pPr>
              <w:rPr>
                <w:rStyle w:val="FontStyle28"/>
                <w:sz w:val="20"/>
                <w:szCs w:val="20"/>
              </w:rPr>
            </w:pPr>
            <w:r w:rsidRPr="00276A37">
              <w:rPr>
                <w:rStyle w:val="FontStyle28"/>
                <w:sz w:val="20"/>
                <w:szCs w:val="20"/>
              </w:rPr>
              <w:t>32.50.13.190 - Инструменты и приспособления, применяемые в медицинских целях, прочие, не включенные в другие группировки</w:t>
            </w:r>
          </w:p>
        </w:tc>
        <w:tc>
          <w:tcPr>
            <w:tcW w:w="2138" w:type="dxa"/>
            <w:vMerge w:val="restart"/>
            <w:shd w:val="clear" w:color="auto" w:fill="auto"/>
          </w:tcPr>
          <w:p w:rsidR="00334AF6" w:rsidRPr="00BF2DB7" w:rsidRDefault="00334AF6" w:rsidP="00852291">
            <w:pPr>
              <w:widowControl w:val="0"/>
              <w:jc w:val="center"/>
              <w:rPr>
                <w:sz w:val="20"/>
                <w:szCs w:val="20"/>
              </w:rPr>
            </w:pPr>
            <w:r w:rsidRPr="00BF2DB7">
              <w:rPr>
                <w:sz w:val="20"/>
                <w:szCs w:val="20"/>
              </w:rPr>
              <w:t xml:space="preserve">21-01-26 Катетер мочеточниковый для </w:t>
            </w:r>
            <w:proofErr w:type="spellStart"/>
            <w:r w:rsidRPr="00BF2DB7">
              <w:rPr>
                <w:sz w:val="20"/>
                <w:szCs w:val="20"/>
              </w:rPr>
              <w:t>уретерокутанеостомы</w:t>
            </w:r>
            <w:proofErr w:type="spellEnd"/>
            <w:r w:rsidRPr="00BF2DB7">
              <w:rPr>
                <w:sz w:val="20"/>
                <w:szCs w:val="20"/>
              </w:rPr>
              <w:t>.</w:t>
            </w:r>
          </w:p>
        </w:tc>
        <w:tc>
          <w:tcPr>
            <w:tcW w:w="3325" w:type="dxa"/>
            <w:vMerge w:val="restart"/>
            <w:shd w:val="clear" w:color="auto" w:fill="auto"/>
          </w:tcPr>
          <w:p w:rsidR="00334AF6" w:rsidRPr="00BF2DB7" w:rsidRDefault="00334AF6" w:rsidP="00920684">
            <w:pPr>
              <w:keepNext/>
              <w:rPr>
                <w:sz w:val="20"/>
                <w:szCs w:val="20"/>
              </w:rPr>
            </w:pPr>
            <w:r w:rsidRPr="00BF2DB7">
              <w:rPr>
                <w:sz w:val="20"/>
                <w:szCs w:val="20"/>
              </w:rPr>
              <w:t xml:space="preserve">Катетер используется для отведения мочи через </w:t>
            </w:r>
            <w:proofErr w:type="spellStart"/>
            <w:r w:rsidRPr="00BF2DB7">
              <w:rPr>
                <w:sz w:val="20"/>
                <w:szCs w:val="20"/>
              </w:rPr>
              <w:t>уретерокутанеостому</w:t>
            </w:r>
            <w:proofErr w:type="spellEnd"/>
            <w:r w:rsidRPr="00BF2DB7">
              <w:rPr>
                <w:sz w:val="20"/>
                <w:szCs w:val="20"/>
              </w:rPr>
              <w:t xml:space="preserve">, изготовлен из силикона, </w:t>
            </w:r>
            <w:proofErr w:type="spellStart"/>
            <w:r w:rsidRPr="00BF2DB7">
              <w:rPr>
                <w:sz w:val="20"/>
                <w:szCs w:val="20"/>
              </w:rPr>
              <w:t>рентеноконтрастный</w:t>
            </w:r>
            <w:proofErr w:type="spellEnd"/>
            <w:r w:rsidRPr="00BF2DB7">
              <w:rPr>
                <w:sz w:val="20"/>
                <w:szCs w:val="20"/>
              </w:rPr>
              <w:t>, имеет дистальные отверстия, овальный или к</w:t>
            </w:r>
            <w:r>
              <w:rPr>
                <w:sz w:val="20"/>
                <w:szCs w:val="20"/>
              </w:rPr>
              <w:t>руглый фланец, длина катетера 50 см. Катетер стерилен и находит</w:t>
            </w:r>
            <w:r w:rsidRPr="00BF2DB7">
              <w:rPr>
                <w:sz w:val="20"/>
                <w:szCs w:val="20"/>
              </w:rPr>
              <w:t xml:space="preserve">ся в индивидуальной упаковке. </w:t>
            </w:r>
          </w:p>
        </w:tc>
        <w:tc>
          <w:tcPr>
            <w:tcW w:w="1500" w:type="dxa"/>
          </w:tcPr>
          <w:p w:rsidR="00334AF6" w:rsidRDefault="00334AF6" w:rsidP="00334AF6">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8</w:t>
            </w:r>
          </w:p>
        </w:tc>
        <w:tc>
          <w:tcPr>
            <w:tcW w:w="1173" w:type="dxa"/>
          </w:tcPr>
          <w:p w:rsidR="00334AF6" w:rsidRPr="0010104E" w:rsidRDefault="009B79F9"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2</w:t>
            </w:r>
          </w:p>
        </w:tc>
      </w:tr>
      <w:tr w:rsidR="00334AF6" w:rsidRPr="00F91836" w:rsidTr="00B217EB">
        <w:trPr>
          <w:trHeight w:val="1050"/>
        </w:trPr>
        <w:tc>
          <w:tcPr>
            <w:tcW w:w="2094" w:type="dxa"/>
            <w:vMerge/>
            <w:shd w:val="clear" w:color="auto" w:fill="auto"/>
          </w:tcPr>
          <w:p w:rsidR="00334AF6" w:rsidRPr="00276A37" w:rsidRDefault="00334AF6" w:rsidP="00FC0F5B">
            <w:pPr>
              <w:rPr>
                <w:rStyle w:val="FontStyle28"/>
                <w:sz w:val="20"/>
                <w:szCs w:val="20"/>
              </w:rPr>
            </w:pPr>
          </w:p>
        </w:tc>
        <w:tc>
          <w:tcPr>
            <w:tcW w:w="2138" w:type="dxa"/>
            <w:vMerge/>
            <w:shd w:val="clear" w:color="auto" w:fill="auto"/>
          </w:tcPr>
          <w:p w:rsidR="00334AF6" w:rsidRPr="00BF2DB7" w:rsidRDefault="00334AF6" w:rsidP="00852291">
            <w:pPr>
              <w:widowControl w:val="0"/>
              <w:jc w:val="center"/>
              <w:rPr>
                <w:sz w:val="20"/>
                <w:szCs w:val="20"/>
              </w:rPr>
            </w:pPr>
          </w:p>
        </w:tc>
        <w:tc>
          <w:tcPr>
            <w:tcW w:w="3325" w:type="dxa"/>
            <w:vMerge/>
            <w:shd w:val="clear" w:color="auto" w:fill="auto"/>
          </w:tcPr>
          <w:p w:rsidR="00334AF6" w:rsidRPr="00BF2DB7" w:rsidRDefault="00334AF6" w:rsidP="00920684">
            <w:pPr>
              <w:keepNext/>
              <w:rPr>
                <w:sz w:val="20"/>
                <w:szCs w:val="20"/>
              </w:rPr>
            </w:pPr>
          </w:p>
        </w:tc>
        <w:tc>
          <w:tcPr>
            <w:tcW w:w="1500" w:type="dxa"/>
          </w:tcPr>
          <w:p w:rsidR="00334AF6" w:rsidRPr="00F14C1D" w:rsidRDefault="00334AF6" w:rsidP="00334AF6">
            <w:pPr>
              <w:pStyle w:val="Standard"/>
              <w:tabs>
                <w:tab w:val="left" w:pos="708"/>
              </w:tabs>
              <w:autoSpaceDE w:val="0"/>
              <w:snapToGrid w:val="0"/>
              <w:jc w:val="center"/>
              <w:rPr>
                <w:rStyle w:val="FontStyle28"/>
                <w:sz w:val="20"/>
                <w:szCs w:val="20"/>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12</w:t>
            </w:r>
          </w:p>
        </w:tc>
        <w:tc>
          <w:tcPr>
            <w:tcW w:w="1173" w:type="dxa"/>
          </w:tcPr>
          <w:p w:rsidR="00334AF6" w:rsidRDefault="009B79F9" w:rsidP="00920684">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5</w:t>
            </w:r>
          </w:p>
        </w:tc>
      </w:tr>
      <w:tr w:rsidR="00D45CDB" w:rsidRPr="00F91836" w:rsidTr="00B217EB">
        <w:trPr>
          <w:trHeight w:val="321"/>
        </w:trPr>
        <w:tc>
          <w:tcPr>
            <w:tcW w:w="2094" w:type="dxa"/>
            <w:shd w:val="clear" w:color="auto" w:fill="auto"/>
          </w:tcPr>
          <w:p w:rsidR="00D45CDB" w:rsidRPr="00BF2DB7" w:rsidRDefault="00D45CDB" w:rsidP="00FC0F5B">
            <w:pPr>
              <w:rPr>
                <w:sz w:val="20"/>
                <w:szCs w:val="20"/>
              </w:rPr>
            </w:pPr>
          </w:p>
        </w:tc>
        <w:tc>
          <w:tcPr>
            <w:tcW w:w="2138" w:type="dxa"/>
            <w:shd w:val="clear" w:color="auto" w:fill="auto"/>
          </w:tcPr>
          <w:p w:rsidR="00D45CDB" w:rsidRPr="00BF2DB7" w:rsidRDefault="00D45CDB" w:rsidP="00852291">
            <w:pPr>
              <w:widowControl w:val="0"/>
              <w:jc w:val="center"/>
              <w:rPr>
                <w:sz w:val="20"/>
                <w:szCs w:val="20"/>
              </w:rPr>
            </w:pPr>
          </w:p>
        </w:tc>
        <w:tc>
          <w:tcPr>
            <w:tcW w:w="3325" w:type="dxa"/>
            <w:shd w:val="clear" w:color="auto" w:fill="auto"/>
          </w:tcPr>
          <w:p w:rsidR="00D45CDB" w:rsidRPr="00BF2DB7" w:rsidRDefault="00D45CDB" w:rsidP="00A97ECC">
            <w:pPr>
              <w:keepNext/>
              <w:rPr>
                <w:sz w:val="20"/>
                <w:szCs w:val="20"/>
              </w:rPr>
            </w:pPr>
          </w:p>
        </w:tc>
        <w:tc>
          <w:tcPr>
            <w:tcW w:w="1500" w:type="dxa"/>
          </w:tcPr>
          <w:p w:rsidR="00D45CDB" w:rsidRPr="00BF2DB7" w:rsidRDefault="00D45CDB" w:rsidP="00735769">
            <w:pPr>
              <w:pStyle w:val="Standard"/>
              <w:tabs>
                <w:tab w:val="left" w:pos="708"/>
              </w:tabs>
              <w:autoSpaceDE w:val="0"/>
              <w:snapToGrid w:val="0"/>
              <w:jc w:val="center"/>
              <w:rPr>
                <w:rFonts w:cs="Times New Roman"/>
                <w:kern w:val="3"/>
                <w:sz w:val="20"/>
                <w:szCs w:val="20"/>
                <w:lang w:val="ru-RU"/>
              </w:rPr>
            </w:pPr>
          </w:p>
        </w:tc>
        <w:tc>
          <w:tcPr>
            <w:tcW w:w="1173" w:type="dxa"/>
          </w:tcPr>
          <w:p w:rsidR="00D45CDB" w:rsidRPr="00BF2DB7" w:rsidRDefault="00E43613" w:rsidP="00735769">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186</w:t>
            </w:r>
          </w:p>
        </w:tc>
      </w:tr>
    </w:tbl>
    <w:p w:rsidR="009604D7" w:rsidRPr="00F91836" w:rsidRDefault="009604D7" w:rsidP="00B57681">
      <w:pPr>
        <w:keepNext/>
        <w:rPr>
          <w:sz w:val="20"/>
          <w:szCs w:val="20"/>
        </w:rPr>
      </w:pPr>
    </w:p>
    <w:sectPr w:rsidR="009604D7" w:rsidRPr="00F91836" w:rsidSect="00735769">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98"/>
    <w:rsid w:val="00016D00"/>
    <w:rsid w:val="000366F9"/>
    <w:rsid w:val="00045153"/>
    <w:rsid w:val="00045ACC"/>
    <w:rsid w:val="000E4A38"/>
    <w:rsid w:val="0010104E"/>
    <w:rsid w:val="0016415E"/>
    <w:rsid w:val="00184910"/>
    <w:rsid w:val="001875C9"/>
    <w:rsid w:val="001B6DDE"/>
    <w:rsid w:val="001C4325"/>
    <w:rsid w:val="002056D4"/>
    <w:rsid w:val="00224A42"/>
    <w:rsid w:val="002463B2"/>
    <w:rsid w:val="00276A37"/>
    <w:rsid w:val="002878B1"/>
    <w:rsid w:val="002C0883"/>
    <w:rsid w:val="002C55DD"/>
    <w:rsid w:val="002E2CA6"/>
    <w:rsid w:val="002E3EB9"/>
    <w:rsid w:val="002F5583"/>
    <w:rsid w:val="00334AF6"/>
    <w:rsid w:val="00334DEE"/>
    <w:rsid w:val="003360A4"/>
    <w:rsid w:val="0033710C"/>
    <w:rsid w:val="003379C3"/>
    <w:rsid w:val="00352BFE"/>
    <w:rsid w:val="0037550C"/>
    <w:rsid w:val="0037685F"/>
    <w:rsid w:val="00394667"/>
    <w:rsid w:val="00394EF6"/>
    <w:rsid w:val="003A04E4"/>
    <w:rsid w:val="003A5004"/>
    <w:rsid w:val="003D2DB1"/>
    <w:rsid w:val="00400D61"/>
    <w:rsid w:val="00404128"/>
    <w:rsid w:val="004637D3"/>
    <w:rsid w:val="00470E68"/>
    <w:rsid w:val="005025A8"/>
    <w:rsid w:val="00521336"/>
    <w:rsid w:val="00531F75"/>
    <w:rsid w:val="00536FAD"/>
    <w:rsid w:val="00541B4E"/>
    <w:rsid w:val="00554E5B"/>
    <w:rsid w:val="0059386D"/>
    <w:rsid w:val="00597D39"/>
    <w:rsid w:val="005D44A0"/>
    <w:rsid w:val="00600EB0"/>
    <w:rsid w:val="00635C33"/>
    <w:rsid w:val="006369F4"/>
    <w:rsid w:val="00661732"/>
    <w:rsid w:val="006A53B2"/>
    <w:rsid w:val="006A5976"/>
    <w:rsid w:val="006D0916"/>
    <w:rsid w:val="00702E3F"/>
    <w:rsid w:val="007126B1"/>
    <w:rsid w:val="00713D30"/>
    <w:rsid w:val="007319BF"/>
    <w:rsid w:val="00733393"/>
    <w:rsid w:val="00735769"/>
    <w:rsid w:val="00760E9B"/>
    <w:rsid w:val="007643CA"/>
    <w:rsid w:val="007A4E92"/>
    <w:rsid w:val="007B1DCB"/>
    <w:rsid w:val="007C2088"/>
    <w:rsid w:val="007D3BD5"/>
    <w:rsid w:val="007E4890"/>
    <w:rsid w:val="0082316F"/>
    <w:rsid w:val="00831EAB"/>
    <w:rsid w:val="00835F31"/>
    <w:rsid w:val="00852291"/>
    <w:rsid w:val="0086709A"/>
    <w:rsid w:val="00883ED6"/>
    <w:rsid w:val="0088542F"/>
    <w:rsid w:val="00891F21"/>
    <w:rsid w:val="008C110C"/>
    <w:rsid w:val="008D359C"/>
    <w:rsid w:val="009059AA"/>
    <w:rsid w:val="0091358B"/>
    <w:rsid w:val="00920684"/>
    <w:rsid w:val="009604D7"/>
    <w:rsid w:val="009864E3"/>
    <w:rsid w:val="00997717"/>
    <w:rsid w:val="009A5A3E"/>
    <w:rsid w:val="009B79F9"/>
    <w:rsid w:val="009E0F52"/>
    <w:rsid w:val="00A02991"/>
    <w:rsid w:val="00A26ECF"/>
    <w:rsid w:val="00A34302"/>
    <w:rsid w:val="00A34337"/>
    <w:rsid w:val="00A36AE5"/>
    <w:rsid w:val="00A87658"/>
    <w:rsid w:val="00A94063"/>
    <w:rsid w:val="00A967B6"/>
    <w:rsid w:val="00A97ECC"/>
    <w:rsid w:val="00AB3E87"/>
    <w:rsid w:val="00AD10A2"/>
    <w:rsid w:val="00B03A9C"/>
    <w:rsid w:val="00B06167"/>
    <w:rsid w:val="00B217EB"/>
    <w:rsid w:val="00B25E4A"/>
    <w:rsid w:val="00B30DF9"/>
    <w:rsid w:val="00B57681"/>
    <w:rsid w:val="00B66A82"/>
    <w:rsid w:val="00B776A9"/>
    <w:rsid w:val="00B84BAF"/>
    <w:rsid w:val="00B85377"/>
    <w:rsid w:val="00B96B27"/>
    <w:rsid w:val="00B97228"/>
    <w:rsid w:val="00BB3698"/>
    <w:rsid w:val="00BF2DB7"/>
    <w:rsid w:val="00BF48AA"/>
    <w:rsid w:val="00C0298C"/>
    <w:rsid w:val="00C31A5C"/>
    <w:rsid w:val="00C34C71"/>
    <w:rsid w:val="00C936C8"/>
    <w:rsid w:val="00C94297"/>
    <w:rsid w:val="00C95F8A"/>
    <w:rsid w:val="00CC22F7"/>
    <w:rsid w:val="00D112A8"/>
    <w:rsid w:val="00D14B69"/>
    <w:rsid w:val="00D17A9F"/>
    <w:rsid w:val="00D2245B"/>
    <w:rsid w:val="00D45CDB"/>
    <w:rsid w:val="00D60F0C"/>
    <w:rsid w:val="00D9623B"/>
    <w:rsid w:val="00DA07F9"/>
    <w:rsid w:val="00E42A35"/>
    <w:rsid w:val="00E43613"/>
    <w:rsid w:val="00E45CE7"/>
    <w:rsid w:val="00E746BF"/>
    <w:rsid w:val="00E82109"/>
    <w:rsid w:val="00E930A7"/>
    <w:rsid w:val="00EB7900"/>
    <w:rsid w:val="00EE78C1"/>
    <w:rsid w:val="00EF7323"/>
    <w:rsid w:val="00EF77FE"/>
    <w:rsid w:val="00F11F02"/>
    <w:rsid w:val="00F14C1D"/>
    <w:rsid w:val="00F159E2"/>
    <w:rsid w:val="00F30C87"/>
    <w:rsid w:val="00F321A2"/>
    <w:rsid w:val="00F570B1"/>
    <w:rsid w:val="00F76E02"/>
    <w:rsid w:val="00F90542"/>
    <w:rsid w:val="00F91836"/>
    <w:rsid w:val="00FC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4367">
      <w:bodyDiv w:val="1"/>
      <w:marLeft w:val="0"/>
      <w:marRight w:val="0"/>
      <w:marTop w:val="0"/>
      <w:marBottom w:val="0"/>
      <w:divBdr>
        <w:top w:val="none" w:sz="0" w:space="0" w:color="auto"/>
        <w:left w:val="none" w:sz="0" w:space="0" w:color="auto"/>
        <w:bottom w:val="none" w:sz="0" w:space="0" w:color="auto"/>
        <w:right w:val="none" w:sz="0" w:space="0" w:color="auto"/>
      </w:divBdr>
    </w:div>
    <w:div w:id="538663753">
      <w:bodyDiv w:val="1"/>
      <w:marLeft w:val="0"/>
      <w:marRight w:val="0"/>
      <w:marTop w:val="0"/>
      <w:marBottom w:val="0"/>
      <w:divBdr>
        <w:top w:val="none" w:sz="0" w:space="0" w:color="auto"/>
        <w:left w:val="none" w:sz="0" w:space="0" w:color="auto"/>
        <w:bottom w:val="none" w:sz="0" w:space="0" w:color="auto"/>
        <w:right w:val="none" w:sz="0" w:space="0" w:color="auto"/>
      </w:divBdr>
    </w:div>
    <w:div w:id="665130157">
      <w:bodyDiv w:val="1"/>
      <w:marLeft w:val="0"/>
      <w:marRight w:val="0"/>
      <w:marTop w:val="0"/>
      <w:marBottom w:val="0"/>
      <w:divBdr>
        <w:top w:val="none" w:sz="0" w:space="0" w:color="auto"/>
        <w:left w:val="none" w:sz="0" w:space="0" w:color="auto"/>
        <w:bottom w:val="none" w:sz="0" w:space="0" w:color="auto"/>
        <w:right w:val="none" w:sz="0" w:space="0" w:color="auto"/>
      </w:divBdr>
    </w:div>
    <w:div w:id="1255281258">
      <w:bodyDiv w:val="1"/>
      <w:marLeft w:val="0"/>
      <w:marRight w:val="0"/>
      <w:marTop w:val="0"/>
      <w:marBottom w:val="0"/>
      <w:divBdr>
        <w:top w:val="none" w:sz="0" w:space="0" w:color="auto"/>
        <w:left w:val="none" w:sz="0" w:space="0" w:color="auto"/>
        <w:bottom w:val="none" w:sz="0" w:space="0" w:color="auto"/>
        <w:right w:val="none" w:sz="0" w:space="0" w:color="auto"/>
      </w:divBdr>
    </w:div>
    <w:div w:id="1634483000">
      <w:bodyDiv w:val="1"/>
      <w:marLeft w:val="0"/>
      <w:marRight w:val="0"/>
      <w:marTop w:val="0"/>
      <w:marBottom w:val="0"/>
      <w:divBdr>
        <w:top w:val="none" w:sz="0" w:space="0" w:color="auto"/>
        <w:left w:val="none" w:sz="0" w:space="0" w:color="auto"/>
        <w:bottom w:val="none" w:sz="0" w:space="0" w:color="auto"/>
        <w:right w:val="none" w:sz="0" w:space="0" w:color="auto"/>
      </w:divBdr>
    </w:div>
    <w:div w:id="1814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Загайнова Кристина Сергеевна</cp:lastModifiedBy>
  <cp:revision>2</cp:revision>
  <cp:lastPrinted>2023-10-04T06:35:00Z</cp:lastPrinted>
  <dcterms:created xsi:type="dcterms:W3CDTF">2024-09-17T05:17:00Z</dcterms:created>
  <dcterms:modified xsi:type="dcterms:W3CDTF">2024-09-17T05:17:00Z</dcterms:modified>
</cp:coreProperties>
</file>