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2531" w:rsidRPr="009B2531" w:rsidRDefault="009B2531" w:rsidP="009B2531">
      <w:pPr>
        <w:widowControl w:val="0"/>
        <w:numPr>
          <w:ilvl w:val="0"/>
          <w:numId w:val="11"/>
        </w:numPr>
        <w:spacing w:after="0" w:line="240" w:lineRule="auto"/>
        <w:ind w:right="23"/>
        <w:jc w:val="right"/>
        <w:rPr>
          <w:rFonts w:ascii="Times New Roman" w:eastAsia="Times New Roman" w:hAnsi="Times New Roman" w:cs="Times New Roman"/>
          <w:bCs/>
          <w:i/>
          <w:sz w:val="24"/>
          <w:szCs w:val="24"/>
          <w:lang w:val="en-US" w:eastAsia="ru-RU"/>
        </w:rPr>
      </w:pPr>
      <w:proofErr w:type="spellStart"/>
      <w:r w:rsidRPr="009B2531">
        <w:rPr>
          <w:rFonts w:ascii="Times New Roman" w:eastAsia="Times New Roman" w:hAnsi="Times New Roman" w:cs="Times New Roman"/>
          <w:bCs/>
          <w:i/>
          <w:sz w:val="24"/>
          <w:szCs w:val="24"/>
          <w:lang w:val="en-US" w:eastAsia="ru-RU"/>
        </w:rPr>
        <w:t>Приложение</w:t>
      </w:r>
      <w:proofErr w:type="spellEnd"/>
      <w:r w:rsidRPr="009B2531">
        <w:rPr>
          <w:rFonts w:ascii="Times New Roman" w:eastAsia="Times New Roman" w:hAnsi="Times New Roman" w:cs="Times New Roman"/>
          <w:bCs/>
          <w:i/>
          <w:sz w:val="24"/>
          <w:szCs w:val="24"/>
          <w:lang w:val="en-US" w:eastAsia="ru-RU"/>
        </w:rPr>
        <w:t xml:space="preserve"> №</w:t>
      </w:r>
      <w:r>
        <w:rPr>
          <w:rFonts w:ascii="Times New Roman" w:eastAsia="Times New Roman" w:hAnsi="Times New Roman" w:cs="Times New Roman"/>
          <w:bCs/>
          <w:i/>
          <w:sz w:val="24"/>
          <w:szCs w:val="24"/>
          <w:lang w:eastAsia="ru-RU"/>
        </w:rPr>
        <w:t>1</w:t>
      </w:r>
      <w:r w:rsidRPr="009B2531">
        <w:rPr>
          <w:rFonts w:ascii="Times New Roman" w:eastAsia="Times New Roman" w:hAnsi="Times New Roman" w:cs="Times New Roman"/>
          <w:bCs/>
          <w:i/>
          <w:sz w:val="24"/>
          <w:szCs w:val="24"/>
          <w:lang w:val="en-US" w:eastAsia="ru-RU"/>
        </w:rPr>
        <w:t xml:space="preserve"> </w:t>
      </w:r>
    </w:p>
    <w:p w:rsidR="009B2531" w:rsidRDefault="009B2531" w:rsidP="009B2531">
      <w:pPr>
        <w:spacing w:after="0" w:line="192" w:lineRule="auto"/>
        <w:jc w:val="right"/>
        <w:rPr>
          <w:rFonts w:ascii="Times New Roman" w:eastAsia="Calibri" w:hAnsi="Times New Roman" w:cs="Times New Roman"/>
          <w:b/>
          <w:sz w:val="24"/>
          <w:szCs w:val="24"/>
          <w:lang w:eastAsia="ru-RU"/>
        </w:rPr>
      </w:pPr>
      <w:r w:rsidRPr="009B2531">
        <w:rPr>
          <w:rFonts w:ascii="Times New Roman" w:eastAsia="Times New Roman" w:hAnsi="Times New Roman" w:cs="Times New Roman"/>
          <w:bCs/>
          <w:i/>
          <w:sz w:val="24"/>
          <w:szCs w:val="24"/>
          <w:lang w:eastAsia="ru-RU"/>
        </w:rPr>
        <w:t>к извещению о проведении закупки</w:t>
      </w:r>
      <w:r w:rsidRPr="00447CEF">
        <w:rPr>
          <w:rFonts w:ascii="Times New Roman" w:eastAsia="Calibri" w:hAnsi="Times New Roman" w:cs="Times New Roman"/>
          <w:b/>
          <w:sz w:val="24"/>
          <w:szCs w:val="24"/>
          <w:lang w:eastAsia="ru-RU"/>
        </w:rPr>
        <w:t xml:space="preserve"> </w:t>
      </w:r>
    </w:p>
    <w:p w:rsidR="009B2531" w:rsidRDefault="009B2531" w:rsidP="009B2531">
      <w:pPr>
        <w:spacing w:after="0" w:line="192" w:lineRule="auto"/>
        <w:jc w:val="center"/>
        <w:rPr>
          <w:rFonts w:ascii="Times New Roman" w:eastAsia="Calibri" w:hAnsi="Times New Roman" w:cs="Times New Roman"/>
          <w:b/>
          <w:sz w:val="24"/>
          <w:szCs w:val="24"/>
          <w:lang w:eastAsia="ru-RU"/>
        </w:rPr>
      </w:pPr>
    </w:p>
    <w:p w:rsidR="00447CEF" w:rsidRPr="00447CEF" w:rsidRDefault="00447CEF" w:rsidP="009B2531">
      <w:pPr>
        <w:spacing w:after="0" w:line="192" w:lineRule="auto"/>
        <w:jc w:val="center"/>
        <w:rPr>
          <w:rFonts w:ascii="Times New Roman" w:eastAsia="Calibri" w:hAnsi="Times New Roman" w:cs="Times New Roman"/>
          <w:b/>
          <w:sz w:val="24"/>
          <w:szCs w:val="24"/>
          <w:lang w:eastAsia="ru-RU"/>
        </w:rPr>
      </w:pPr>
      <w:r w:rsidRPr="00447CEF">
        <w:rPr>
          <w:rFonts w:ascii="Times New Roman" w:eastAsia="Calibri" w:hAnsi="Times New Roman" w:cs="Times New Roman"/>
          <w:b/>
          <w:sz w:val="24"/>
          <w:szCs w:val="24"/>
          <w:lang w:eastAsia="ru-RU"/>
        </w:rPr>
        <w:t>Описание объекта закупки (техническое задание)</w:t>
      </w:r>
    </w:p>
    <w:p w:rsidR="00447CEF" w:rsidRPr="00447CEF" w:rsidRDefault="00447CEF" w:rsidP="00447CEF">
      <w:pPr>
        <w:spacing w:after="247" w:line="192" w:lineRule="auto"/>
        <w:jc w:val="center"/>
        <w:rPr>
          <w:rFonts w:ascii="Times New Roman" w:eastAsia="Times New Roman" w:hAnsi="Times New Roman" w:cs="Times New Roman"/>
          <w:b/>
          <w:color w:val="000000"/>
          <w:sz w:val="24"/>
          <w:szCs w:val="24"/>
          <w:lang w:eastAsia="ru-RU"/>
        </w:rPr>
      </w:pPr>
      <w:r w:rsidRPr="00447CEF">
        <w:rPr>
          <w:rFonts w:ascii="Times New Roman" w:eastAsia="Times New Roman" w:hAnsi="Times New Roman" w:cs="Times New Roman"/>
          <w:b/>
          <w:color w:val="000000"/>
          <w:sz w:val="24"/>
          <w:szCs w:val="24"/>
          <w:lang w:eastAsia="ru-RU"/>
        </w:rPr>
        <w:t xml:space="preserve">на выполнение работ в 2025 году по изготовлению </w:t>
      </w:r>
      <w:r w:rsidRPr="00447CEF">
        <w:rPr>
          <w:rFonts w:ascii="Times New Roman" w:eastAsia="Calibri" w:hAnsi="Times New Roman" w:cs="Times New Roman"/>
          <w:b/>
          <w:bCs/>
          <w:sz w:val="24"/>
          <w:szCs w:val="24"/>
        </w:rPr>
        <w:t xml:space="preserve">протезов нижних конечностей </w:t>
      </w:r>
      <w:r w:rsidRPr="00447CEF">
        <w:rPr>
          <w:rFonts w:ascii="Times New Roman" w:eastAsia="Calibri" w:hAnsi="Times New Roman" w:cs="Times New Roman"/>
          <w:b/>
          <w:sz w:val="24"/>
          <w:szCs w:val="24"/>
          <w:lang w:eastAsia="ru-RU"/>
        </w:rPr>
        <w:t xml:space="preserve">(далее-Изделия) для социального обеспечения граждан </w:t>
      </w:r>
      <w:r w:rsidRPr="00447CEF">
        <w:rPr>
          <w:rFonts w:ascii="Times New Roman" w:eastAsia="Times New Roman" w:hAnsi="Times New Roman" w:cs="Times New Roman"/>
          <w:b/>
          <w:bCs/>
          <w:sz w:val="24"/>
          <w:szCs w:val="24"/>
          <w:lang w:eastAsia="ru-RU"/>
        </w:rPr>
        <w:t>(далее-Получатели)</w:t>
      </w:r>
    </w:p>
    <w:p w:rsidR="00447CEF" w:rsidRPr="00447CEF" w:rsidRDefault="00447CEF" w:rsidP="00447CEF">
      <w:pPr>
        <w:spacing w:after="0" w:line="192" w:lineRule="auto"/>
        <w:ind w:right="-2"/>
        <w:jc w:val="both"/>
        <w:rPr>
          <w:rFonts w:ascii="Times New Roman" w:eastAsia="Times New Roman" w:hAnsi="Times New Roman" w:cs="Times New Roman"/>
          <w:color w:val="000000"/>
          <w:sz w:val="24"/>
          <w:szCs w:val="24"/>
          <w:lang w:eastAsia="ru-RU"/>
        </w:rPr>
      </w:pPr>
      <w:r w:rsidRPr="00447CEF">
        <w:rPr>
          <w:rFonts w:ascii="Times New Roman" w:eastAsia="Times New Roman" w:hAnsi="Times New Roman" w:cs="Times New Roman"/>
          <w:b/>
          <w:color w:val="000000"/>
          <w:sz w:val="24"/>
          <w:szCs w:val="24"/>
          <w:lang w:eastAsia="ru-RU"/>
        </w:rPr>
        <w:t>Срок выполнения работ:</w:t>
      </w:r>
      <w:r w:rsidRPr="00447CEF">
        <w:rPr>
          <w:rFonts w:ascii="Times New Roman" w:eastAsia="Times New Roman" w:hAnsi="Times New Roman" w:cs="Times New Roman"/>
          <w:color w:val="000000"/>
          <w:sz w:val="24"/>
          <w:szCs w:val="24"/>
          <w:lang w:eastAsia="ru-RU"/>
        </w:rPr>
        <w:t xml:space="preserve"> со дня, следующего за днем заключения государственного контракта (но не ранее 09.01.2025), и до «30» ноября 2025 года (включительно).</w:t>
      </w:r>
    </w:p>
    <w:p w:rsidR="00447CEF" w:rsidRPr="00447CEF" w:rsidRDefault="00447CEF" w:rsidP="00447CEF">
      <w:pPr>
        <w:spacing w:after="0" w:line="192" w:lineRule="auto"/>
        <w:ind w:right="-2"/>
        <w:jc w:val="both"/>
        <w:rPr>
          <w:rFonts w:ascii="Times New Roman" w:eastAsia="Times New Roman" w:hAnsi="Times New Roman" w:cs="Times New Roman"/>
          <w:color w:val="000000"/>
          <w:sz w:val="24"/>
          <w:szCs w:val="24"/>
          <w:lang w:eastAsia="ru-RU"/>
        </w:rPr>
      </w:pPr>
      <w:r w:rsidRPr="00447CEF">
        <w:rPr>
          <w:rFonts w:ascii="Times New Roman" w:eastAsia="Times New Roman" w:hAnsi="Times New Roman" w:cs="Times New Roman"/>
          <w:b/>
          <w:color w:val="000000"/>
          <w:sz w:val="24"/>
          <w:szCs w:val="24"/>
          <w:lang w:eastAsia="ru-RU"/>
        </w:rPr>
        <w:t>Сроки завершения работы:</w:t>
      </w:r>
      <w:r w:rsidRPr="00447CEF">
        <w:rPr>
          <w:rFonts w:ascii="Times New Roman" w:eastAsia="Times New Roman" w:hAnsi="Times New Roman" w:cs="Times New Roman"/>
          <w:color w:val="000000"/>
          <w:sz w:val="24"/>
          <w:szCs w:val="24"/>
          <w:lang w:eastAsia="ru-RU"/>
        </w:rPr>
        <w:t xml:space="preserve"> до «30» ноября 2025 года (включительно).</w:t>
      </w:r>
    </w:p>
    <w:p w:rsidR="00447CEF" w:rsidRPr="00447CEF" w:rsidRDefault="00447CEF" w:rsidP="00447CEF">
      <w:pPr>
        <w:spacing w:after="0" w:line="192" w:lineRule="auto"/>
        <w:ind w:right="-2"/>
        <w:rPr>
          <w:rFonts w:ascii="Times New Roman" w:eastAsia="Times New Roman" w:hAnsi="Times New Roman" w:cs="Times New Roman"/>
          <w:color w:val="000000"/>
          <w:sz w:val="24"/>
          <w:szCs w:val="24"/>
          <w:lang w:eastAsia="ru-RU"/>
        </w:rPr>
      </w:pPr>
      <w:r w:rsidRPr="00447CEF">
        <w:rPr>
          <w:rFonts w:ascii="Times New Roman" w:eastAsia="Times New Roman" w:hAnsi="Times New Roman" w:cs="Times New Roman"/>
          <w:b/>
          <w:color w:val="000000"/>
          <w:sz w:val="24"/>
          <w:szCs w:val="24"/>
          <w:lang w:eastAsia="ru-RU"/>
        </w:rPr>
        <w:t>Место выполнения работ</w:t>
      </w:r>
      <w:r w:rsidRPr="00447CEF">
        <w:rPr>
          <w:rFonts w:ascii="Times New Roman" w:eastAsia="Times New Roman" w:hAnsi="Times New Roman" w:cs="Times New Roman"/>
          <w:color w:val="000000"/>
          <w:sz w:val="24"/>
          <w:szCs w:val="24"/>
          <w:lang w:eastAsia="ru-RU"/>
        </w:rPr>
        <w:t>: Российская Федерация</w:t>
      </w:r>
      <w:r w:rsidR="0087151F">
        <w:rPr>
          <w:rFonts w:ascii="Times New Roman" w:eastAsia="Times New Roman" w:hAnsi="Times New Roman" w:cs="Times New Roman"/>
          <w:color w:val="000000"/>
          <w:sz w:val="24"/>
          <w:szCs w:val="24"/>
          <w:lang w:eastAsia="ru-RU"/>
        </w:rPr>
        <w:t>.</w:t>
      </w:r>
      <w:bookmarkStart w:id="0" w:name="_GoBack"/>
      <w:bookmarkEnd w:id="0"/>
    </w:p>
    <w:p w:rsidR="00447CEF" w:rsidRPr="00447CEF" w:rsidRDefault="00447CEF" w:rsidP="00E75A22">
      <w:pPr>
        <w:numPr>
          <w:ilvl w:val="0"/>
          <w:numId w:val="1"/>
        </w:numPr>
        <w:spacing w:after="0" w:line="192" w:lineRule="auto"/>
        <w:ind w:left="0" w:right="-2"/>
        <w:jc w:val="both"/>
        <w:rPr>
          <w:rFonts w:ascii="Times New Roman" w:eastAsia="Times New Roman" w:hAnsi="Times New Roman" w:cs="Times New Roman"/>
          <w:color w:val="000000"/>
          <w:sz w:val="24"/>
          <w:szCs w:val="24"/>
          <w:lang w:eastAsia="ru-RU"/>
        </w:rPr>
      </w:pPr>
      <w:r w:rsidRPr="00447CEF">
        <w:rPr>
          <w:rFonts w:ascii="Times New Roman" w:eastAsia="Times New Roman" w:hAnsi="Times New Roman" w:cs="Times New Roman"/>
          <w:color w:val="000000"/>
          <w:sz w:val="24"/>
          <w:szCs w:val="24"/>
          <w:lang w:eastAsia="ru-RU"/>
        </w:rPr>
        <w:t>Исполнитель обязан обеспечить выполнение работ по наименованию, в количестве и в сроки, предъявляемыми в настоящем техническом задании, в период действия государственного контракта.</w:t>
      </w:r>
    </w:p>
    <w:p w:rsidR="00447CEF" w:rsidRPr="00447CEF" w:rsidRDefault="00447CEF" w:rsidP="00447CEF">
      <w:pPr>
        <w:spacing w:after="0" w:line="192" w:lineRule="auto"/>
        <w:ind w:right="-2"/>
        <w:jc w:val="both"/>
        <w:rPr>
          <w:rFonts w:ascii="Times New Roman" w:eastAsia="Times New Roman" w:hAnsi="Times New Roman" w:cs="Times New Roman"/>
          <w:b/>
          <w:color w:val="000000"/>
          <w:sz w:val="24"/>
          <w:szCs w:val="24"/>
          <w:lang w:eastAsia="ru-RU"/>
        </w:rPr>
      </w:pPr>
      <w:r w:rsidRPr="00447CEF">
        <w:rPr>
          <w:rFonts w:ascii="Times New Roman" w:eastAsia="Times New Roman" w:hAnsi="Times New Roman" w:cs="Times New Roman"/>
          <w:b/>
          <w:color w:val="000000"/>
          <w:sz w:val="24"/>
          <w:szCs w:val="24"/>
          <w:lang w:eastAsia="ru-RU"/>
        </w:rPr>
        <w:t>Максимальное значение цены контракта: 8 450 000,00 руб.</w:t>
      </w:r>
    </w:p>
    <w:p w:rsidR="00447CEF" w:rsidRPr="00447CEF" w:rsidRDefault="00447CEF" w:rsidP="00447CEF">
      <w:pPr>
        <w:numPr>
          <w:ilvl w:val="0"/>
          <w:numId w:val="1"/>
        </w:numPr>
        <w:spacing w:after="0" w:line="192" w:lineRule="auto"/>
        <w:ind w:right="659"/>
        <w:jc w:val="both"/>
        <w:rPr>
          <w:rFonts w:ascii="Times New Roman" w:eastAsia="Times New Roman" w:hAnsi="Times New Roman" w:cs="Times New Roman"/>
          <w:color w:val="000000"/>
          <w:sz w:val="24"/>
          <w:szCs w:val="24"/>
          <w:lang w:eastAsia="ru-RU"/>
        </w:rPr>
      </w:pPr>
      <w:r w:rsidRPr="00447CEF">
        <w:rPr>
          <w:rFonts w:ascii="Times New Roman" w:eastAsia="Times New Roman" w:hAnsi="Times New Roman" w:cs="Times New Roman"/>
          <w:color w:val="000000"/>
          <w:sz w:val="24"/>
          <w:szCs w:val="24"/>
          <w:lang w:eastAsia="ru-RU"/>
        </w:rPr>
        <w:t>Изделия должны отвечать следующим требованиям:</w:t>
      </w:r>
    </w:p>
    <w:tbl>
      <w:tblPr>
        <w:tblStyle w:val="TableGrid2"/>
        <w:tblW w:w="10348" w:type="dxa"/>
        <w:tblInd w:w="-147" w:type="dxa"/>
        <w:tblLayout w:type="fixed"/>
        <w:tblCellMar>
          <w:top w:w="58" w:type="dxa"/>
          <w:left w:w="108" w:type="dxa"/>
        </w:tblCellMar>
        <w:tblLook w:val="04A0" w:firstRow="1" w:lastRow="0" w:firstColumn="1" w:lastColumn="0" w:noHBand="0" w:noVBand="1"/>
      </w:tblPr>
      <w:tblGrid>
        <w:gridCol w:w="696"/>
        <w:gridCol w:w="1289"/>
        <w:gridCol w:w="6095"/>
        <w:gridCol w:w="1134"/>
        <w:gridCol w:w="1134"/>
      </w:tblGrid>
      <w:tr w:rsidR="00447CEF" w:rsidRPr="00447CEF" w:rsidTr="003A7AC6">
        <w:trPr>
          <w:trHeight w:val="519"/>
        </w:trPr>
        <w:tc>
          <w:tcPr>
            <w:tcW w:w="696" w:type="dxa"/>
            <w:tcBorders>
              <w:top w:val="single" w:sz="4" w:space="0" w:color="000000"/>
              <w:left w:val="single" w:sz="4" w:space="0" w:color="000000"/>
              <w:bottom w:val="single" w:sz="4" w:space="0" w:color="000000"/>
              <w:right w:val="single" w:sz="4" w:space="0" w:color="000000"/>
            </w:tcBorders>
          </w:tcPr>
          <w:p w:rsidR="00447CEF" w:rsidRPr="00447CEF" w:rsidRDefault="00447CEF" w:rsidP="00447CEF">
            <w:pPr>
              <w:spacing w:line="192" w:lineRule="auto"/>
              <w:rPr>
                <w:rFonts w:ascii="Times New Roman" w:hAnsi="Times New Roman"/>
                <w:color w:val="000000"/>
                <w:sz w:val="24"/>
                <w:szCs w:val="24"/>
              </w:rPr>
            </w:pPr>
            <w:r w:rsidRPr="00447CEF">
              <w:rPr>
                <w:rFonts w:ascii="Times New Roman" w:hAnsi="Times New Roman"/>
                <w:color w:val="000000"/>
                <w:sz w:val="24"/>
                <w:szCs w:val="24"/>
              </w:rPr>
              <w:t>№</w:t>
            </w:r>
          </w:p>
          <w:p w:rsidR="00447CEF" w:rsidRPr="00447CEF" w:rsidRDefault="00447CEF" w:rsidP="00447CEF">
            <w:pPr>
              <w:spacing w:line="192" w:lineRule="auto"/>
              <w:ind w:right="108"/>
              <w:jc w:val="center"/>
              <w:rPr>
                <w:rFonts w:ascii="Times New Roman" w:hAnsi="Times New Roman"/>
                <w:color w:val="000000"/>
                <w:sz w:val="24"/>
                <w:szCs w:val="24"/>
              </w:rPr>
            </w:pPr>
            <w:r w:rsidRPr="00447CEF">
              <w:rPr>
                <w:rFonts w:ascii="Times New Roman" w:hAnsi="Times New Roman"/>
                <w:color w:val="000000"/>
                <w:sz w:val="24"/>
                <w:szCs w:val="24"/>
              </w:rPr>
              <w:t>п/п</w:t>
            </w:r>
          </w:p>
        </w:tc>
        <w:tc>
          <w:tcPr>
            <w:tcW w:w="1289" w:type="dxa"/>
            <w:tcBorders>
              <w:top w:val="single" w:sz="4" w:space="0" w:color="000000"/>
              <w:left w:val="single" w:sz="4" w:space="0" w:color="000000"/>
              <w:bottom w:val="single" w:sz="4" w:space="0" w:color="000000"/>
              <w:right w:val="single" w:sz="4" w:space="0" w:color="000000"/>
            </w:tcBorders>
          </w:tcPr>
          <w:p w:rsidR="00447CEF" w:rsidRPr="00447CEF" w:rsidRDefault="00447CEF" w:rsidP="00447CEF">
            <w:pPr>
              <w:spacing w:line="192" w:lineRule="auto"/>
              <w:ind w:right="44"/>
              <w:jc w:val="center"/>
              <w:rPr>
                <w:rFonts w:ascii="Times New Roman" w:hAnsi="Times New Roman"/>
                <w:color w:val="000000"/>
                <w:sz w:val="24"/>
                <w:szCs w:val="24"/>
              </w:rPr>
            </w:pPr>
            <w:r w:rsidRPr="00447CEF">
              <w:rPr>
                <w:rFonts w:ascii="Times New Roman" w:hAnsi="Times New Roman"/>
                <w:color w:val="000000"/>
                <w:sz w:val="24"/>
                <w:szCs w:val="24"/>
              </w:rPr>
              <w:t>Наименование Изделия</w:t>
            </w:r>
          </w:p>
        </w:tc>
        <w:tc>
          <w:tcPr>
            <w:tcW w:w="6095" w:type="dxa"/>
            <w:tcBorders>
              <w:top w:val="single" w:sz="4" w:space="0" w:color="000000"/>
              <w:left w:val="single" w:sz="4" w:space="0" w:color="000000"/>
              <w:bottom w:val="single" w:sz="4" w:space="0" w:color="000000"/>
              <w:right w:val="single" w:sz="4" w:space="0" w:color="000000"/>
            </w:tcBorders>
          </w:tcPr>
          <w:p w:rsidR="00447CEF" w:rsidRPr="00447CEF" w:rsidRDefault="00447CEF" w:rsidP="00447CEF">
            <w:pPr>
              <w:spacing w:line="192" w:lineRule="auto"/>
              <w:ind w:right="108"/>
              <w:jc w:val="center"/>
              <w:rPr>
                <w:rFonts w:ascii="Times New Roman" w:hAnsi="Times New Roman"/>
                <w:color w:val="000000"/>
                <w:sz w:val="24"/>
                <w:szCs w:val="24"/>
              </w:rPr>
            </w:pPr>
            <w:r w:rsidRPr="00447CEF">
              <w:rPr>
                <w:rFonts w:ascii="Times New Roman" w:hAnsi="Times New Roman"/>
                <w:color w:val="000000"/>
                <w:sz w:val="24"/>
                <w:szCs w:val="24"/>
              </w:rPr>
              <w:t>Характеристика Изделия</w:t>
            </w:r>
          </w:p>
        </w:tc>
        <w:tc>
          <w:tcPr>
            <w:tcW w:w="1134" w:type="dxa"/>
            <w:tcBorders>
              <w:top w:val="single" w:sz="4" w:space="0" w:color="000000"/>
              <w:left w:val="single" w:sz="4" w:space="0" w:color="000000"/>
              <w:bottom w:val="single" w:sz="4" w:space="0" w:color="000000"/>
              <w:right w:val="single" w:sz="4" w:space="0" w:color="000000"/>
            </w:tcBorders>
          </w:tcPr>
          <w:p w:rsidR="00447CEF" w:rsidRPr="00447CEF" w:rsidRDefault="00447CEF" w:rsidP="00447CEF">
            <w:pPr>
              <w:spacing w:line="192" w:lineRule="auto"/>
              <w:ind w:right="41"/>
              <w:jc w:val="center"/>
              <w:rPr>
                <w:rFonts w:ascii="Times New Roman" w:hAnsi="Times New Roman"/>
                <w:color w:val="000000"/>
                <w:sz w:val="24"/>
                <w:szCs w:val="24"/>
              </w:rPr>
            </w:pPr>
            <w:r w:rsidRPr="00447CEF">
              <w:rPr>
                <w:rFonts w:ascii="Times New Roman" w:hAnsi="Times New Roman"/>
                <w:color w:val="000000"/>
                <w:sz w:val="24"/>
                <w:szCs w:val="24"/>
              </w:rPr>
              <w:t>Значение характеристики</w:t>
            </w:r>
          </w:p>
        </w:tc>
        <w:tc>
          <w:tcPr>
            <w:tcW w:w="1134" w:type="dxa"/>
            <w:tcBorders>
              <w:top w:val="single" w:sz="4" w:space="0" w:color="000000"/>
              <w:left w:val="single" w:sz="4" w:space="0" w:color="000000"/>
              <w:bottom w:val="single" w:sz="4" w:space="0" w:color="000000"/>
              <w:right w:val="single" w:sz="4" w:space="0" w:color="000000"/>
            </w:tcBorders>
          </w:tcPr>
          <w:p w:rsidR="00447CEF" w:rsidRPr="00447CEF" w:rsidRDefault="00447CEF" w:rsidP="00447CEF">
            <w:pPr>
              <w:spacing w:line="192" w:lineRule="auto"/>
              <w:ind w:right="78"/>
              <w:jc w:val="center"/>
              <w:rPr>
                <w:rFonts w:ascii="Times New Roman" w:hAnsi="Times New Roman"/>
                <w:color w:val="000000"/>
                <w:sz w:val="24"/>
                <w:szCs w:val="24"/>
              </w:rPr>
            </w:pPr>
            <w:r w:rsidRPr="00447CEF">
              <w:rPr>
                <w:rFonts w:ascii="Times New Roman" w:hAnsi="Times New Roman"/>
                <w:sz w:val="24"/>
                <w:szCs w:val="24"/>
              </w:rPr>
              <w:t>Единица измерения</w:t>
            </w:r>
            <w:r w:rsidRPr="00447CEF">
              <w:rPr>
                <w:rFonts w:ascii="Times New Roman" w:hAnsi="Times New Roman"/>
                <w:color w:val="000000"/>
                <w:sz w:val="24"/>
                <w:szCs w:val="24"/>
              </w:rPr>
              <w:t xml:space="preserve"> </w:t>
            </w:r>
          </w:p>
        </w:tc>
      </w:tr>
      <w:tr w:rsidR="00447CEF" w:rsidRPr="00447CEF" w:rsidTr="003A7AC6">
        <w:trPr>
          <w:trHeight w:val="3100"/>
        </w:trPr>
        <w:tc>
          <w:tcPr>
            <w:tcW w:w="696" w:type="dxa"/>
            <w:tcBorders>
              <w:top w:val="single" w:sz="4" w:space="0" w:color="000000"/>
              <w:left w:val="single" w:sz="4" w:space="0" w:color="000000"/>
              <w:bottom w:val="single" w:sz="4" w:space="0" w:color="000000"/>
              <w:right w:val="single" w:sz="4" w:space="0" w:color="000000"/>
            </w:tcBorders>
          </w:tcPr>
          <w:p w:rsidR="00447CEF" w:rsidRPr="00447CEF" w:rsidRDefault="00447CEF" w:rsidP="00447CEF">
            <w:pPr>
              <w:ind w:right="108"/>
              <w:jc w:val="center"/>
              <w:rPr>
                <w:rFonts w:ascii="Times New Roman" w:hAnsi="Times New Roman"/>
                <w:color w:val="000000"/>
              </w:rPr>
            </w:pPr>
            <w:r w:rsidRPr="00447CEF">
              <w:rPr>
                <w:rFonts w:ascii="Times New Roman" w:hAnsi="Times New Roman"/>
                <w:color w:val="000000"/>
              </w:rPr>
              <w:t>1</w:t>
            </w:r>
          </w:p>
        </w:tc>
        <w:tc>
          <w:tcPr>
            <w:tcW w:w="1289" w:type="dxa"/>
            <w:tcBorders>
              <w:top w:val="single" w:sz="4" w:space="0" w:color="000000"/>
              <w:left w:val="single" w:sz="4" w:space="0" w:color="000000"/>
              <w:bottom w:val="single" w:sz="4" w:space="0" w:color="000000"/>
              <w:right w:val="single" w:sz="4" w:space="0" w:color="000000"/>
            </w:tcBorders>
          </w:tcPr>
          <w:p w:rsidR="00447CEF" w:rsidRPr="00447CEF" w:rsidRDefault="00447CEF" w:rsidP="00DE63BD">
            <w:pPr>
              <w:spacing w:line="254" w:lineRule="auto"/>
              <w:ind w:right="142"/>
              <w:jc w:val="center"/>
              <w:rPr>
                <w:rFonts w:ascii="Times New Roman" w:hAnsi="Times New Roman"/>
                <w:color w:val="000000"/>
              </w:rPr>
            </w:pPr>
            <w:r w:rsidRPr="00447CEF">
              <w:rPr>
                <w:rFonts w:ascii="Times New Roman" w:hAnsi="Times New Roman"/>
                <w:color w:val="000000"/>
              </w:rPr>
              <w:t>Протез бедра модульный, в том числе при врожденном недоразвитии</w:t>
            </w:r>
          </w:p>
        </w:tc>
        <w:tc>
          <w:tcPr>
            <w:tcW w:w="6095" w:type="dxa"/>
            <w:tcBorders>
              <w:top w:val="single" w:sz="4" w:space="0" w:color="000000"/>
              <w:left w:val="single" w:sz="4" w:space="0" w:color="000000"/>
              <w:bottom w:val="single" w:sz="4" w:space="0" w:color="000000"/>
              <w:right w:val="single" w:sz="4" w:space="0" w:color="000000"/>
            </w:tcBorders>
          </w:tcPr>
          <w:p w:rsidR="00447CEF" w:rsidRPr="00447CEF" w:rsidRDefault="00447CEF" w:rsidP="00447CEF">
            <w:pPr>
              <w:spacing w:line="192" w:lineRule="auto"/>
              <w:ind w:right="108"/>
              <w:jc w:val="both"/>
              <w:rPr>
                <w:rFonts w:ascii="Times New Roman" w:hAnsi="Times New Roman"/>
                <w:color w:val="000000"/>
              </w:rPr>
            </w:pPr>
            <w:r w:rsidRPr="00447CEF">
              <w:rPr>
                <w:rFonts w:ascii="Times New Roman" w:hAnsi="Times New Roman"/>
                <w:color w:val="000000"/>
              </w:rPr>
              <w:t>Протез бедра модульный, в том числе при врожденном недоразвитии, среднего уровня активности. Формообразующая часть облицовки – мягкая полиуретановая. Косметическое покрытие облицовки – чулки полиамидные ортопедические. Пробная приемная гильза по слепку из листового термопласта. Постоянная приемная гильза по слепку из слоистого пластика на основе связующих смол. Вкладной элемент по слепку из вспененных материалов, из листового термопласта сверхмягкого (</w:t>
            </w:r>
            <w:proofErr w:type="spellStart"/>
            <w:r w:rsidRPr="00447CEF">
              <w:rPr>
                <w:rFonts w:ascii="Times New Roman" w:hAnsi="Times New Roman"/>
                <w:color w:val="000000"/>
              </w:rPr>
              <w:t>супрасофта</w:t>
            </w:r>
            <w:proofErr w:type="spellEnd"/>
            <w:r w:rsidRPr="00447CEF">
              <w:rPr>
                <w:rFonts w:ascii="Times New Roman" w:hAnsi="Times New Roman"/>
                <w:color w:val="000000"/>
              </w:rPr>
              <w:t xml:space="preserve">) (по медицинским показаниям). Регулировочно-соединительные устройства на нагрузку не менее 100 кг (включительно). Коленный шарнир многоосный с независимым пневматическим регулированием фазы сгибания и разгибания. Стопа </w:t>
            </w:r>
            <w:proofErr w:type="spellStart"/>
            <w:r w:rsidRPr="00447CEF">
              <w:rPr>
                <w:rFonts w:ascii="Times New Roman" w:hAnsi="Times New Roman"/>
                <w:color w:val="000000"/>
              </w:rPr>
              <w:t>углепластиковая</w:t>
            </w:r>
            <w:proofErr w:type="spellEnd"/>
            <w:r w:rsidRPr="00447CEF">
              <w:rPr>
                <w:rFonts w:ascii="Times New Roman" w:hAnsi="Times New Roman"/>
                <w:color w:val="000000"/>
              </w:rPr>
              <w:t xml:space="preserve"> со средним уровнем энергосбережения. Крепление - вакуумный клапан, бандаж. Постоянный.</w:t>
            </w:r>
          </w:p>
        </w:tc>
        <w:tc>
          <w:tcPr>
            <w:tcW w:w="1134" w:type="dxa"/>
            <w:tcBorders>
              <w:top w:val="single" w:sz="4" w:space="0" w:color="000000"/>
              <w:left w:val="single" w:sz="4" w:space="0" w:color="000000"/>
              <w:bottom w:val="single" w:sz="4" w:space="0" w:color="000000"/>
              <w:right w:val="single" w:sz="4" w:space="0" w:color="000000"/>
            </w:tcBorders>
          </w:tcPr>
          <w:p w:rsidR="00447CEF" w:rsidRPr="00447CEF" w:rsidRDefault="00447CEF" w:rsidP="00447CEF">
            <w:pPr>
              <w:ind w:right="108"/>
              <w:jc w:val="center"/>
              <w:rPr>
                <w:rFonts w:ascii="Times New Roman" w:hAnsi="Times New Roman"/>
                <w:color w:val="000000"/>
              </w:rPr>
            </w:pPr>
            <w:r w:rsidRPr="00447CEF">
              <w:rPr>
                <w:rFonts w:ascii="Times New Roman" w:hAnsi="Times New Roman"/>
                <w:color w:val="000000"/>
              </w:rPr>
              <w:t>наличие</w:t>
            </w:r>
          </w:p>
        </w:tc>
        <w:tc>
          <w:tcPr>
            <w:tcW w:w="1134" w:type="dxa"/>
            <w:tcBorders>
              <w:top w:val="single" w:sz="4" w:space="0" w:color="000000"/>
              <w:left w:val="single" w:sz="4" w:space="0" w:color="000000"/>
              <w:bottom w:val="single" w:sz="4" w:space="0" w:color="000000"/>
              <w:right w:val="single" w:sz="4" w:space="0" w:color="000000"/>
            </w:tcBorders>
          </w:tcPr>
          <w:p w:rsidR="00447CEF" w:rsidRPr="00447CEF" w:rsidRDefault="00447CEF" w:rsidP="00447CEF">
            <w:pPr>
              <w:ind w:right="108"/>
              <w:jc w:val="center"/>
              <w:rPr>
                <w:rFonts w:ascii="Times New Roman" w:hAnsi="Times New Roman"/>
                <w:color w:val="000000"/>
              </w:rPr>
            </w:pPr>
            <w:r w:rsidRPr="00447CEF">
              <w:rPr>
                <w:rFonts w:ascii="Times New Roman" w:hAnsi="Times New Roman"/>
                <w:color w:val="000000"/>
                <w:sz w:val="24"/>
                <w:szCs w:val="24"/>
              </w:rPr>
              <w:t>шт.</w:t>
            </w:r>
          </w:p>
        </w:tc>
      </w:tr>
      <w:tr w:rsidR="00447CEF" w:rsidRPr="00447CEF" w:rsidTr="003A7AC6">
        <w:trPr>
          <w:trHeight w:val="512"/>
        </w:trPr>
        <w:tc>
          <w:tcPr>
            <w:tcW w:w="696" w:type="dxa"/>
            <w:tcBorders>
              <w:top w:val="single" w:sz="4" w:space="0" w:color="000000"/>
              <w:left w:val="single" w:sz="4" w:space="0" w:color="000000"/>
              <w:bottom w:val="single" w:sz="4" w:space="0" w:color="000000"/>
              <w:right w:val="single" w:sz="4" w:space="0" w:color="000000"/>
            </w:tcBorders>
          </w:tcPr>
          <w:p w:rsidR="00447CEF" w:rsidRPr="00447CEF" w:rsidRDefault="00447CEF" w:rsidP="00447CEF">
            <w:pPr>
              <w:ind w:right="108"/>
              <w:jc w:val="center"/>
              <w:rPr>
                <w:rFonts w:ascii="Times New Roman" w:hAnsi="Times New Roman"/>
                <w:color w:val="000000"/>
              </w:rPr>
            </w:pPr>
            <w:r w:rsidRPr="00447CEF">
              <w:rPr>
                <w:rFonts w:ascii="Times New Roman" w:hAnsi="Times New Roman"/>
                <w:color w:val="000000"/>
              </w:rPr>
              <w:t>2</w:t>
            </w:r>
          </w:p>
        </w:tc>
        <w:tc>
          <w:tcPr>
            <w:tcW w:w="1289" w:type="dxa"/>
            <w:tcBorders>
              <w:top w:val="single" w:sz="4" w:space="0" w:color="000000"/>
              <w:left w:val="single" w:sz="4" w:space="0" w:color="000000"/>
              <w:bottom w:val="single" w:sz="4" w:space="0" w:color="000000"/>
              <w:right w:val="single" w:sz="4" w:space="0" w:color="000000"/>
            </w:tcBorders>
          </w:tcPr>
          <w:p w:rsidR="00447CEF" w:rsidRPr="00447CEF" w:rsidRDefault="00447CEF" w:rsidP="00DE63BD">
            <w:pPr>
              <w:spacing w:line="254" w:lineRule="auto"/>
              <w:ind w:right="142"/>
              <w:jc w:val="center"/>
              <w:rPr>
                <w:rFonts w:ascii="Times New Roman" w:hAnsi="Times New Roman"/>
                <w:color w:val="000000"/>
              </w:rPr>
            </w:pPr>
            <w:r w:rsidRPr="00447CEF">
              <w:rPr>
                <w:rFonts w:ascii="Times New Roman" w:hAnsi="Times New Roman"/>
                <w:color w:val="000000"/>
              </w:rPr>
              <w:t>Протез бедра модульный, в том числе при врожденном недоразвитии</w:t>
            </w:r>
          </w:p>
        </w:tc>
        <w:tc>
          <w:tcPr>
            <w:tcW w:w="6095" w:type="dxa"/>
            <w:tcBorders>
              <w:top w:val="single" w:sz="4" w:space="0" w:color="000000"/>
              <w:left w:val="single" w:sz="4" w:space="0" w:color="000000"/>
              <w:bottom w:val="single" w:sz="4" w:space="0" w:color="000000"/>
              <w:right w:val="single" w:sz="4" w:space="0" w:color="000000"/>
            </w:tcBorders>
          </w:tcPr>
          <w:p w:rsidR="00447CEF" w:rsidRPr="00447CEF" w:rsidRDefault="00447CEF" w:rsidP="00447CEF">
            <w:pPr>
              <w:spacing w:line="192" w:lineRule="auto"/>
              <w:ind w:right="101"/>
              <w:jc w:val="both"/>
              <w:rPr>
                <w:rFonts w:ascii="Times New Roman" w:hAnsi="Times New Roman"/>
                <w:color w:val="000000"/>
              </w:rPr>
            </w:pPr>
            <w:r w:rsidRPr="00447CEF">
              <w:rPr>
                <w:rFonts w:ascii="Times New Roman" w:hAnsi="Times New Roman"/>
                <w:color w:val="000000"/>
              </w:rPr>
              <w:t xml:space="preserve">Протез бедра модульный, в том числе при врожденном недоразвитии, среднего уровня активности. Формообразующая часть облицовки – мягкая полиуретановая. Косметическое покрытие облицовки – чулки полиамидные ортопедические. Пробная приемная гильза по слепку из листового термопласта. Постоянная приемная гильза по слепку из слоистого пластика на основе связующих смол. Вкладной элемент - чехол среднего уровня стабилизации. Регулировочно-соединительные устройства на нагрузку не менее 100 кг (включительно). Коленный модуль многоосный гидравлический с раздельной регулировкой фазы сгибания и разгибания, одноосный гидравлический. Стопа </w:t>
            </w:r>
            <w:proofErr w:type="spellStart"/>
            <w:r w:rsidRPr="00447CEF">
              <w:rPr>
                <w:rFonts w:ascii="Times New Roman" w:hAnsi="Times New Roman"/>
                <w:color w:val="000000"/>
              </w:rPr>
              <w:t>углепластиковая</w:t>
            </w:r>
            <w:proofErr w:type="spellEnd"/>
            <w:r w:rsidRPr="00447CEF">
              <w:rPr>
                <w:rFonts w:ascii="Times New Roman" w:hAnsi="Times New Roman"/>
                <w:color w:val="000000"/>
              </w:rPr>
              <w:t xml:space="preserve"> со средним уровнем энергосбережения. Дополнительное регулировочно-соединительное устройство - надколенное поворотное устройство. Крепление замковое для полимерных чехлов, вакуумный клапан, бандаж (по медицинским показаниям). Чехлы шерстяные, хлопчатобумажные, полиамидные – 4 шт. (по выбору Получателя). Постоянный.</w:t>
            </w:r>
          </w:p>
        </w:tc>
        <w:tc>
          <w:tcPr>
            <w:tcW w:w="1134" w:type="dxa"/>
            <w:tcBorders>
              <w:top w:val="single" w:sz="4" w:space="0" w:color="000000"/>
              <w:left w:val="single" w:sz="4" w:space="0" w:color="000000"/>
              <w:bottom w:val="single" w:sz="4" w:space="0" w:color="000000"/>
              <w:right w:val="single" w:sz="4" w:space="0" w:color="000000"/>
            </w:tcBorders>
          </w:tcPr>
          <w:p w:rsidR="00447CEF" w:rsidRPr="00447CEF" w:rsidRDefault="00447CEF" w:rsidP="00447CEF">
            <w:pPr>
              <w:ind w:right="108"/>
              <w:jc w:val="center"/>
              <w:rPr>
                <w:rFonts w:ascii="Times New Roman" w:hAnsi="Times New Roman"/>
                <w:color w:val="000000"/>
              </w:rPr>
            </w:pPr>
            <w:r w:rsidRPr="00447CEF">
              <w:rPr>
                <w:rFonts w:ascii="Times New Roman" w:hAnsi="Times New Roman"/>
                <w:color w:val="000000"/>
              </w:rPr>
              <w:t>наличие</w:t>
            </w:r>
          </w:p>
        </w:tc>
        <w:tc>
          <w:tcPr>
            <w:tcW w:w="1134" w:type="dxa"/>
            <w:tcBorders>
              <w:top w:val="single" w:sz="4" w:space="0" w:color="000000"/>
              <w:left w:val="single" w:sz="4" w:space="0" w:color="000000"/>
              <w:bottom w:val="single" w:sz="4" w:space="0" w:color="000000"/>
              <w:right w:val="single" w:sz="4" w:space="0" w:color="000000"/>
            </w:tcBorders>
          </w:tcPr>
          <w:p w:rsidR="00447CEF" w:rsidRPr="00447CEF" w:rsidRDefault="00447CEF" w:rsidP="00447CEF">
            <w:pPr>
              <w:ind w:right="108"/>
              <w:jc w:val="center"/>
              <w:rPr>
                <w:rFonts w:ascii="Times New Roman" w:hAnsi="Times New Roman"/>
                <w:color w:val="000000"/>
              </w:rPr>
            </w:pPr>
            <w:r w:rsidRPr="00447CEF">
              <w:rPr>
                <w:rFonts w:ascii="Times New Roman" w:hAnsi="Times New Roman"/>
                <w:color w:val="000000"/>
                <w:sz w:val="24"/>
                <w:szCs w:val="24"/>
              </w:rPr>
              <w:t>шт.</w:t>
            </w:r>
          </w:p>
        </w:tc>
      </w:tr>
      <w:tr w:rsidR="00447CEF" w:rsidRPr="00447CEF" w:rsidTr="003A7AC6">
        <w:trPr>
          <w:trHeight w:val="370"/>
        </w:trPr>
        <w:tc>
          <w:tcPr>
            <w:tcW w:w="696" w:type="dxa"/>
            <w:tcBorders>
              <w:top w:val="single" w:sz="4" w:space="0" w:color="000000"/>
              <w:left w:val="single" w:sz="4" w:space="0" w:color="000000"/>
              <w:bottom w:val="single" w:sz="4" w:space="0" w:color="000000"/>
              <w:right w:val="single" w:sz="4" w:space="0" w:color="000000"/>
            </w:tcBorders>
          </w:tcPr>
          <w:p w:rsidR="00447CEF" w:rsidRPr="00447CEF" w:rsidRDefault="00447CEF" w:rsidP="00447CEF">
            <w:pPr>
              <w:ind w:right="55"/>
              <w:jc w:val="center"/>
              <w:rPr>
                <w:rFonts w:ascii="Times New Roman" w:hAnsi="Times New Roman"/>
                <w:color w:val="000000"/>
              </w:rPr>
            </w:pPr>
            <w:r w:rsidRPr="00447CEF">
              <w:rPr>
                <w:rFonts w:ascii="Times New Roman" w:hAnsi="Times New Roman"/>
                <w:color w:val="000000"/>
              </w:rPr>
              <w:t>3</w:t>
            </w:r>
          </w:p>
        </w:tc>
        <w:tc>
          <w:tcPr>
            <w:tcW w:w="1289" w:type="dxa"/>
            <w:tcBorders>
              <w:top w:val="single" w:sz="4" w:space="0" w:color="000000"/>
              <w:left w:val="single" w:sz="4" w:space="0" w:color="000000"/>
              <w:bottom w:val="single" w:sz="4" w:space="0" w:color="000000"/>
              <w:right w:val="single" w:sz="4" w:space="0" w:color="000000"/>
            </w:tcBorders>
          </w:tcPr>
          <w:p w:rsidR="00447CEF" w:rsidRPr="00447CEF" w:rsidRDefault="00447CEF" w:rsidP="00DE63BD">
            <w:pPr>
              <w:spacing w:line="254" w:lineRule="auto"/>
              <w:ind w:right="142"/>
              <w:jc w:val="center"/>
              <w:rPr>
                <w:rFonts w:ascii="Times New Roman" w:hAnsi="Times New Roman"/>
                <w:color w:val="000000"/>
              </w:rPr>
            </w:pPr>
            <w:r w:rsidRPr="00447CEF">
              <w:rPr>
                <w:rFonts w:ascii="Times New Roman" w:hAnsi="Times New Roman"/>
                <w:color w:val="000000"/>
              </w:rPr>
              <w:t>Протез бедра модульный, в том числе при врожденном недоразвитии</w:t>
            </w:r>
          </w:p>
        </w:tc>
        <w:tc>
          <w:tcPr>
            <w:tcW w:w="6095" w:type="dxa"/>
            <w:tcBorders>
              <w:top w:val="single" w:sz="4" w:space="0" w:color="000000"/>
              <w:left w:val="single" w:sz="4" w:space="0" w:color="000000"/>
              <w:bottom w:val="single" w:sz="4" w:space="0" w:color="000000"/>
              <w:right w:val="single" w:sz="4" w:space="0" w:color="000000"/>
            </w:tcBorders>
          </w:tcPr>
          <w:p w:rsidR="00447CEF" w:rsidRPr="00447CEF" w:rsidRDefault="00447CEF" w:rsidP="00447CEF">
            <w:pPr>
              <w:spacing w:line="192" w:lineRule="auto"/>
              <w:ind w:right="101"/>
              <w:jc w:val="both"/>
              <w:rPr>
                <w:rFonts w:ascii="Times New Roman" w:hAnsi="Times New Roman"/>
                <w:color w:val="000000"/>
              </w:rPr>
            </w:pPr>
            <w:r w:rsidRPr="00447CEF">
              <w:rPr>
                <w:rFonts w:ascii="Times New Roman" w:hAnsi="Times New Roman"/>
                <w:color w:val="000000"/>
              </w:rPr>
              <w:t>Протез бедра модульный, в том числе при врожденном недоразвитии, среднего уровня активности. Формообразующая часть облицовки – мягкая полиуретановая. Косметическое покрытие облицовки – чулки полиамидные ортопедические. Пробная приемная гильза по слепку из листового термопласта. Постоянная приемная гильза по слепку из слоистого пластика на основе связующих смол. Вкладной элемент по слепку из вспененных материалов, из листового термопласта сверхмягкого (</w:t>
            </w:r>
            <w:proofErr w:type="spellStart"/>
            <w:r w:rsidRPr="00447CEF">
              <w:rPr>
                <w:rFonts w:ascii="Times New Roman" w:hAnsi="Times New Roman"/>
                <w:color w:val="000000"/>
              </w:rPr>
              <w:t>супрасофта</w:t>
            </w:r>
            <w:proofErr w:type="spellEnd"/>
            <w:r w:rsidRPr="00447CEF">
              <w:rPr>
                <w:rFonts w:ascii="Times New Roman" w:hAnsi="Times New Roman"/>
                <w:color w:val="000000"/>
              </w:rPr>
              <w:t xml:space="preserve">) (по медицинским показаниям). Регулировочно-соединительные устройства на нагрузку не менее 100 кг (включительно). Коленный модуль многоосный гидравлический с раздельной регулировкой фазы сгибания и разгибания, одноосный гидравлический. Стопа </w:t>
            </w:r>
            <w:proofErr w:type="spellStart"/>
            <w:r w:rsidRPr="00447CEF">
              <w:rPr>
                <w:rFonts w:ascii="Times New Roman" w:hAnsi="Times New Roman"/>
                <w:color w:val="000000"/>
              </w:rPr>
              <w:t>углепластиковая</w:t>
            </w:r>
            <w:proofErr w:type="spellEnd"/>
            <w:r w:rsidRPr="00447CEF">
              <w:rPr>
                <w:rFonts w:ascii="Times New Roman" w:hAnsi="Times New Roman"/>
                <w:color w:val="000000"/>
              </w:rPr>
              <w:t xml:space="preserve"> со средним уровнем </w:t>
            </w:r>
            <w:r w:rsidRPr="00447CEF">
              <w:rPr>
                <w:rFonts w:ascii="Times New Roman" w:hAnsi="Times New Roman"/>
                <w:color w:val="000000"/>
              </w:rPr>
              <w:lastRenderedPageBreak/>
              <w:t>энергосбережения. Дополнительное регулировочно-соединительное устройство - поворотное устройство. Крепление - вакуумный клапан, бандаж. Чехлы шерстяные, хлопчатобумажные, полиамидные – 4 шт. (по выбору Получателя). Постоянный.</w:t>
            </w:r>
          </w:p>
        </w:tc>
        <w:tc>
          <w:tcPr>
            <w:tcW w:w="1134" w:type="dxa"/>
            <w:tcBorders>
              <w:top w:val="single" w:sz="4" w:space="0" w:color="000000"/>
              <w:left w:val="single" w:sz="4" w:space="0" w:color="000000"/>
              <w:bottom w:val="single" w:sz="4" w:space="0" w:color="000000"/>
              <w:right w:val="single" w:sz="4" w:space="0" w:color="000000"/>
            </w:tcBorders>
          </w:tcPr>
          <w:p w:rsidR="00447CEF" w:rsidRPr="00447CEF" w:rsidRDefault="00447CEF" w:rsidP="00447CEF">
            <w:pPr>
              <w:ind w:right="55"/>
              <w:jc w:val="center"/>
              <w:rPr>
                <w:rFonts w:ascii="Times New Roman" w:hAnsi="Times New Roman"/>
                <w:color w:val="000000"/>
              </w:rPr>
            </w:pPr>
            <w:r w:rsidRPr="00447CEF">
              <w:rPr>
                <w:rFonts w:ascii="Times New Roman" w:hAnsi="Times New Roman"/>
                <w:color w:val="000000"/>
              </w:rPr>
              <w:lastRenderedPageBreak/>
              <w:t>наличие</w:t>
            </w:r>
          </w:p>
        </w:tc>
        <w:tc>
          <w:tcPr>
            <w:tcW w:w="1134" w:type="dxa"/>
            <w:tcBorders>
              <w:top w:val="single" w:sz="4" w:space="0" w:color="000000"/>
              <w:left w:val="single" w:sz="4" w:space="0" w:color="000000"/>
              <w:bottom w:val="single" w:sz="4" w:space="0" w:color="000000"/>
              <w:right w:val="single" w:sz="4" w:space="0" w:color="000000"/>
            </w:tcBorders>
          </w:tcPr>
          <w:p w:rsidR="00447CEF" w:rsidRPr="00447CEF" w:rsidRDefault="00447CEF" w:rsidP="00447CEF">
            <w:pPr>
              <w:ind w:right="55"/>
              <w:jc w:val="center"/>
              <w:rPr>
                <w:rFonts w:ascii="Times New Roman" w:hAnsi="Times New Roman"/>
                <w:color w:val="000000"/>
              </w:rPr>
            </w:pPr>
            <w:r w:rsidRPr="00447CEF">
              <w:rPr>
                <w:rFonts w:ascii="Times New Roman" w:hAnsi="Times New Roman"/>
                <w:color w:val="000000"/>
                <w:sz w:val="24"/>
                <w:szCs w:val="24"/>
              </w:rPr>
              <w:t>шт.</w:t>
            </w:r>
          </w:p>
        </w:tc>
      </w:tr>
      <w:tr w:rsidR="00447CEF" w:rsidRPr="00447CEF" w:rsidTr="003A7AC6">
        <w:trPr>
          <w:trHeight w:val="512"/>
        </w:trPr>
        <w:tc>
          <w:tcPr>
            <w:tcW w:w="696" w:type="dxa"/>
            <w:tcBorders>
              <w:top w:val="single" w:sz="4" w:space="0" w:color="000000"/>
              <w:left w:val="single" w:sz="4" w:space="0" w:color="000000"/>
              <w:bottom w:val="single" w:sz="4" w:space="0" w:color="000000"/>
              <w:right w:val="single" w:sz="4" w:space="0" w:color="000000"/>
            </w:tcBorders>
          </w:tcPr>
          <w:p w:rsidR="00447CEF" w:rsidRPr="00447CEF" w:rsidRDefault="00447CEF" w:rsidP="00447CEF">
            <w:pPr>
              <w:ind w:right="55"/>
              <w:jc w:val="center"/>
              <w:rPr>
                <w:rFonts w:ascii="Times New Roman" w:hAnsi="Times New Roman"/>
                <w:color w:val="000000"/>
              </w:rPr>
            </w:pPr>
            <w:r w:rsidRPr="00447CEF">
              <w:rPr>
                <w:rFonts w:ascii="Times New Roman" w:hAnsi="Times New Roman"/>
                <w:color w:val="000000"/>
              </w:rPr>
              <w:lastRenderedPageBreak/>
              <w:t>4</w:t>
            </w:r>
          </w:p>
        </w:tc>
        <w:tc>
          <w:tcPr>
            <w:tcW w:w="1289" w:type="dxa"/>
            <w:tcBorders>
              <w:top w:val="single" w:sz="4" w:space="0" w:color="000000"/>
              <w:left w:val="single" w:sz="4" w:space="0" w:color="000000"/>
              <w:bottom w:val="single" w:sz="4" w:space="0" w:color="000000"/>
              <w:right w:val="single" w:sz="4" w:space="0" w:color="000000"/>
            </w:tcBorders>
          </w:tcPr>
          <w:p w:rsidR="00447CEF" w:rsidRPr="00447CEF" w:rsidRDefault="00447CEF" w:rsidP="00DE63BD">
            <w:pPr>
              <w:spacing w:line="254" w:lineRule="auto"/>
              <w:ind w:right="142"/>
              <w:jc w:val="center"/>
              <w:rPr>
                <w:rFonts w:ascii="Times New Roman" w:hAnsi="Times New Roman"/>
                <w:color w:val="000000"/>
              </w:rPr>
            </w:pPr>
            <w:r w:rsidRPr="00447CEF">
              <w:rPr>
                <w:rFonts w:ascii="Times New Roman" w:hAnsi="Times New Roman"/>
                <w:color w:val="000000"/>
              </w:rPr>
              <w:t>Протез бедра модульный, в том числе при врожденном недоразвитии</w:t>
            </w:r>
          </w:p>
        </w:tc>
        <w:tc>
          <w:tcPr>
            <w:tcW w:w="6095" w:type="dxa"/>
            <w:tcBorders>
              <w:top w:val="single" w:sz="4" w:space="0" w:color="000000"/>
              <w:left w:val="single" w:sz="4" w:space="0" w:color="000000"/>
              <w:bottom w:val="single" w:sz="4" w:space="0" w:color="000000"/>
              <w:right w:val="single" w:sz="4" w:space="0" w:color="000000"/>
            </w:tcBorders>
          </w:tcPr>
          <w:p w:rsidR="00447CEF" w:rsidRPr="00447CEF" w:rsidRDefault="00447CEF" w:rsidP="00447CEF">
            <w:pPr>
              <w:spacing w:line="192" w:lineRule="auto"/>
              <w:ind w:right="101"/>
              <w:jc w:val="both"/>
              <w:rPr>
                <w:rFonts w:ascii="Times New Roman" w:hAnsi="Times New Roman"/>
                <w:color w:val="000000"/>
              </w:rPr>
            </w:pPr>
            <w:r w:rsidRPr="00447CEF">
              <w:rPr>
                <w:rFonts w:ascii="Times New Roman" w:hAnsi="Times New Roman"/>
                <w:color w:val="000000"/>
              </w:rPr>
              <w:t>Протез бедра модульный, в том числе при врожденном недоразвитии, среднего уровня активности. Формообразующая часть облицовки – мягкая полиуретановая. Косметическое покрытие облицовки – чулки полиамидные ортопедические. Пробная приемная гильза по слепку из листового термопласта. Постоянная приемная гильза по слепку из слоистого пластика на основе связующих смол. Вкладной элемент по слепку из вспененных материалов, из листового термопласта сверхмягкого (</w:t>
            </w:r>
            <w:proofErr w:type="spellStart"/>
            <w:r w:rsidRPr="00447CEF">
              <w:rPr>
                <w:rFonts w:ascii="Times New Roman" w:hAnsi="Times New Roman"/>
                <w:color w:val="000000"/>
              </w:rPr>
              <w:t>супрасофта</w:t>
            </w:r>
            <w:proofErr w:type="spellEnd"/>
            <w:r w:rsidRPr="00447CEF">
              <w:rPr>
                <w:rFonts w:ascii="Times New Roman" w:hAnsi="Times New Roman"/>
                <w:color w:val="000000"/>
              </w:rPr>
              <w:t xml:space="preserve">) (по медицинским показаниям). Регулировочно-соединительные устройства на нагрузку не менее 100 кг (включительно). Коленный модуль полицентрический гидравлический с раздельной регулировкой фазы сгибания и разгибания. Стопа </w:t>
            </w:r>
            <w:proofErr w:type="spellStart"/>
            <w:r w:rsidRPr="00447CEF">
              <w:rPr>
                <w:rFonts w:ascii="Times New Roman" w:hAnsi="Times New Roman"/>
                <w:color w:val="000000"/>
              </w:rPr>
              <w:t>углепластиковая</w:t>
            </w:r>
            <w:proofErr w:type="spellEnd"/>
            <w:r w:rsidRPr="00447CEF">
              <w:rPr>
                <w:rFonts w:ascii="Times New Roman" w:hAnsi="Times New Roman"/>
                <w:color w:val="000000"/>
              </w:rPr>
              <w:t xml:space="preserve"> со средним уровнем энергосбережения. Крепление - вакуумный клапан, бандаж. Постоянный.</w:t>
            </w:r>
          </w:p>
        </w:tc>
        <w:tc>
          <w:tcPr>
            <w:tcW w:w="1134" w:type="dxa"/>
            <w:tcBorders>
              <w:top w:val="single" w:sz="4" w:space="0" w:color="000000"/>
              <w:left w:val="single" w:sz="4" w:space="0" w:color="000000"/>
              <w:bottom w:val="single" w:sz="4" w:space="0" w:color="000000"/>
              <w:right w:val="single" w:sz="4" w:space="0" w:color="000000"/>
            </w:tcBorders>
          </w:tcPr>
          <w:p w:rsidR="00447CEF" w:rsidRPr="00447CEF" w:rsidRDefault="00447CEF" w:rsidP="00447CEF">
            <w:pPr>
              <w:ind w:right="55"/>
              <w:jc w:val="center"/>
              <w:rPr>
                <w:rFonts w:ascii="Times New Roman" w:hAnsi="Times New Roman"/>
                <w:color w:val="000000"/>
              </w:rPr>
            </w:pPr>
            <w:r w:rsidRPr="00447CEF">
              <w:rPr>
                <w:rFonts w:ascii="Times New Roman" w:hAnsi="Times New Roman"/>
                <w:color w:val="000000"/>
              </w:rPr>
              <w:t>наличие</w:t>
            </w:r>
          </w:p>
        </w:tc>
        <w:tc>
          <w:tcPr>
            <w:tcW w:w="1134" w:type="dxa"/>
            <w:tcBorders>
              <w:top w:val="single" w:sz="4" w:space="0" w:color="000000"/>
              <w:left w:val="single" w:sz="4" w:space="0" w:color="000000"/>
              <w:bottom w:val="single" w:sz="4" w:space="0" w:color="000000"/>
              <w:right w:val="single" w:sz="4" w:space="0" w:color="000000"/>
            </w:tcBorders>
          </w:tcPr>
          <w:p w:rsidR="00447CEF" w:rsidRPr="00447CEF" w:rsidRDefault="00447CEF" w:rsidP="00447CEF">
            <w:pPr>
              <w:ind w:right="55"/>
              <w:jc w:val="center"/>
              <w:rPr>
                <w:rFonts w:ascii="Times New Roman" w:hAnsi="Times New Roman"/>
                <w:color w:val="000000"/>
              </w:rPr>
            </w:pPr>
            <w:r w:rsidRPr="00447CEF">
              <w:rPr>
                <w:rFonts w:ascii="Times New Roman" w:hAnsi="Times New Roman"/>
                <w:color w:val="000000"/>
                <w:sz w:val="24"/>
                <w:szCs w:val="24"/>
              </w:rPr>
              <w:t>шт.</w:t>
            </w:r>
          </w:p>
        </w:tc>
      </w:tr>
      <w:tr w:rsidR="00447CEF" w:rsidRPr="00447CEF" w:rsidTr="003A7AC6">
        <w:trPr>
          <w:trHeight w:val="512"/>
        </w:trPr>
        <w:tc>
          <w:tcPr>
            <w:tcW w:w="696" w:type="dxa"/>
            <w:tcBorders>
              <w:top w:val="single" w:sz="4" w:space="0" w:color="000000"/>
              <w:left w:val="single" w:sz="4" w:space="0" w:color="000000"/>
              <w:bottom w:val="single" w:sz="4" w:space="0" w:color="000000"/>
              <w:right w:val="single" w:sz="4" w:space="0" w:color="000000"/>
            </w:tcBorders>
          </w:tcPr>
          <w:p w:rsidR="00447CEF" w:rsidRPr="00447CEF" w:rsidRDefault="00447CEF" w:rsidP="00447CEF">
            <w:pPr>
              <w:ind w:right="55"/>
              <w:jc w:val="center"/>
              <w:rPr>
                <w:rFonts w:ascii="Times New Roman" w:hAnsi="Times New Roman"/>
                <w:color w:val="000000"/>
              </w:rPr>
            </w:pPr>
            <w:r w:rsidRPr="00447CEF">
              <w:rPr>
                <w:rFonts w:ascii="Times New Roman" w:hAnsi="Times New Roman"/>
                <w:color w:val="000000"/>
              </w:rPr>
              <w:t>5</w:t>
            </w:r>
          </w:p>
        </w:tc>
        <w:tc>
          <w:tcPr>
            <w:tcW w:w="1289" w:type="dxa"/>
            <w:tcBorders>
              <w:top w:val="single" w:sz="4" w:space="0" w:color="000000"/>
              <w:left w:val="single" w:sz="4" w:space="0" w:color="000000"/>
              <w:bottom w:val="single" w:sz="4" w:space="0" w:color="000000"/>
              <w:right w:val="single" w:sz="4" w:space="0" w:color="000000"/>
            </w:tcBorders>
          </w:tcPr>
          <w:p w:rsidR="00447CEF" w:rsidRPr="00447CEF" w:rsidRDefault="00447CEF" w:rsidP="00DE63BD">
            <w:pPr>
              <w:ind w:right="142"/>
              <w:jc w:val="center"/>
              <w:rPr>
                <w:rFonts w:ascii="Times New Roman" w:hAnsi="Times New Roman"/>
                <w:color w:val="000000"/>
              </w:rPr>
            </w:pPr>
            <w:r w:rsidRPr="00447CEF">
              <w:rPr>
                <w:rFonts w:ascii="Times New Roman" w:hAnsi="Times New Roman"/>
                <w:color w:val="000000"/>
              </w:rPr>
              <w:t>Протез голени модульный, в том числе при недоразвитии</w:t>
            </w:r>
          </w:p>
        </w:tc>
        <w:tc>
          <w:tcPr>
            <w:tcW w:w="6095" w:type="dxa"/>
            <w:tcBorders>
              <w:top w:val="single" w:sz="4" w:space="0" w:color="000000"/>
              <w:left w:val="single" w:sz="4" w:space="0" w:color="000000"/>
              <w:bottom w:val="single" w:sz="4" w:space="0" w:color="000000"/>
              <w:right w:val="single" w:sz="4" w:space="0" w:color="000000"/>
            </w:tcBorders>
          </w:tcPr>
          <w:p w:rsidR="00447CEF" w:rsidRPr="00447CEF" w:rsidRDefault="00447CEF" w:rsidP="00447CEF">
            <w:pPr>
              <w:spacing w:line="192" w:lineRule="auto"/>
              <w:ind w:right="101"/>
              <w:jc w:val="both"/>
              <w:rPr>
                <w:rFonts w:ascii="Times New Roman" w:hAnsi="Times New Roman"/>
                <w:color w:val="000000"/>
              </w:rPr>
            </w:pPr>
            <w:r w:rsidRPr="00447CEF">
              <w:rPr>
                <w:rFonts w:ascii="Times New Roman" w:hAnsi="Times New Roman"/>
                <w:color w:val="000000"/>
              </w:rPr>
              <w:t>Протез голени модульный, в том числе при недоразвитии, среднего уровня активности. Формообразующая часть облицовки – мягкая полиуретановая. Косметическое покрытие облицовки – чулки полиамидные ортопедические. Приемная гильза пробная по слепку из листового термопласта. Приемная гильза постоянная по слепку из слоистого пластика на основе связующих смол. Вкладной элемент по слепку из вспененных материалов, из листового термопласта сверхмягкого (</w:t>
            </w:r>
            <w:proofErr w:type="spellStart"/>
            <w:r w:rsidRPr="00447CEF">
              <w:rPr>
                <w:rFonts w:ascii="Times New Roman" w:hAnsi="Times New Roman"/>
                <w:color w:val="000000"/>
              </w:rPr>
              <w:t>супрасофта</w:t>
            </w:r>
            <w:proofErr w:type="spellEnd"/>
            <w:r w:rsidRPr="00447CEF">
              <w:rPr>
                <w:rFonts w:ascii="Times New Roman" w:hAnsi="Times New Roman"/>
                <w:color w:val="000000"/>
              </w:rPr>
              <w:t xml:space="preserve">) (по медицинским показаниям). Регулировочно-соединительные устройства на нагрузку не менее 100 кг (включительно). Стопа </w:t>
            </w:r>
            <w:proofErr w:type="spellStart"/>
            <w:r w:rsidRPr="00447CEF">
              <w:rPr>
                <w:rFonts w:ascii="Times New Roman" w:hAnsi="Times New Roman"/>
                <w:color w:val="000000"/>
              </w:rPr>
              <w:t>углепластиковая</w:t>
            </w:r>
            <w:proofErr w:type="spellEnd"/>
            <w:r w:rsidRPr="00447CEF">
              <w:rPr>
                <w:rFonts w:ascii="Times New Roman" w:hAnsi="Times New Roman"/>
                <w:color w:val="000000"/>
              </w:rPr>
              <w:t xml:space="preserve"> со средней степенью энергосбережения. Крепление протеза герметизирующим коленным бандажом. Постоянный.</w:t>
            </w:r>
          </w:p>
        </w:tc>
        <w:tc>
          <w:tcPr>
            <w:tcW w:w="1134" w:type="dxa"/>
            <w:tcBorders>
              <w:top w:val="single" w:sz="4" w:space="0" w:color="000000"/>
              <w:left w:val="single" w:sz="4" w:space="0" w:color="000000"/>
              <w:bottom w:val="single" w:sz="4" w:space="0" w:color="000000"/>
              <w:right w:val="single" w:sz="4" w:space="0" w:color="000000"/>
            </w:tcBorders>
          </w:tcPr>
          <w:p w:rsidR="00447CEF" w:rsidRPr="00447CEF" w:rsidRDefault="00447CEF" w:rsidP="00447CEF">
            <w:pPr>
              <w:ind w:right="55"/>
              <w:jc w:val="center"/>
              <w:rPr>
                <w:rFonts w:ascii="Times New Roman" w:hAnsi="Times New Roman"/>
                <w:color w:val="000000"/>
              </w:rPr>
            </w:pPr>
            <w:r w:rsidRPr="00447CEF">
              <w:rPr>
                <w:rFonts w:ascii="Times New Roman" w:hAnsi="Times New Roman"/>
                <w:color w:val="000000"/>
              </w:rPr>
              <w:t>наличие</w:t>
            </w:r>
          </w:p>
        </w:tc>
        <w:tc>
          <w:tcPr>
            <w:tcW w:w="1134" w:type="dxa"/>
            <w:tcBorders>
              <w:top w:val="single" w:sz="4" w:space="0" w:color="000000"/>
              <w:left w:val="single" w:sz="4" w:space="0" w:color="000000"/>
              <w:bottom w:val="single" w:sz="4" w:space="0" w:color="000000"/>
              <w:right w:val="single" w:sz="4" w:space="0" w:color="000000"/>
            </w:tcBorders>
          </w:tcPr>
          <w:p w:rsidR="00447CEF" w:rsidRPr="00447CEF" w:rsidRDefault="00447CEF" w:rsidP="00447CEF">
            <w:pPr>
              <w:ind w:right="55"/>
              <w:jc w:val="center"/>
              <w:rPr>
                <w:rFonts w:ascii="Times New Roman" w:hAnsi="Times New Roman"/>
                <w:color w:val="000000"/>
              </w:rPr>
            </w:pPr>
            <w:r w:rsidRPr="00447CEF">
              <w:rPr>
                <w:rFonts w:ascii="Times New Roman" w:hAnsi="Times New Roman"/>
                <w:color w:val="000000"/>
                <w:sz w:val="24"/>
                <w:szCs w:val="24"/>
              </w:rPr>
              <w:t>шт.</w:t>
            </w:r>
          </w:p>
        </w:tc>
      </w:tr>
      <w:tr w:rsidR="00447CEF" w:rsidRPr="00447CEF" w:rsidTr="003A7AC6">
        <w:trPr>
          <w:trHeight w:val="512"/>
        </w:trPr>
        <w:tc>
          <w:tcPr>
            <w:tcW w:w="696" w:type="dxa"/>
            <w:tcBorders>
              <w:top w:val="single" w:sz="4" w:space="0" w:color="000000"/>
              <w:left w:val="single" w:sz="4" w:space="0" w:color="000000"/>
              <w:bottom w:val="single" w:sz="4" w:space="0" w:color="000000"/>
              <w:right w:val="single" w:sz="4" w:space="0" w:color="000000"/>
            </w:tcBorders>
          </w:tcPr>
          <w:p w:rsidR="00447CEF" w:rsidRPr="00447CEF" w:rsidRDefault="00447CEF" w:rsidP="00447CEF">
            <w:pPr>
              <w:ind w:right="55"/>
              <w:jc w:val="center"/>
              <w:rPr>
                <w:rFonts w:ascii="Times New Roman" w:hAnsi="Times New Roman"/>
                <w:color w:val="000000"/>
              </w:rPr>
            </w:pPr>
            <w:r w:rsidRPr="00447CEF">
              <w:rPr>
                <w:rFonts w:ascii="Times New Roman" w:hAnsi="Times New Roman"/>
                <w:color w:val="000000"/>
              </w:rPr>
              <w:t>6</w:t>
            </w:r>
          </w:p>
        </w:tc>
        <w:tc>
          <w:tcPr>
            <w:tcW w:w="1289" w:type="dxa"/>
            <w:tcBorders>
              <w:top w:val="single" w:sz="4" w:space="0" w:color="000000"/>
              <w:left w:val="single" w:sz="4" w:space="0" w:color="000000"/>
              <w:bottom w:val="single" w:sz="4" w:space="0" w:color="000000"/>
              <w:right w:val="single" w:sz="4" w:space="0" w:color="000000"/>
            </w:tcBorders>
          </w:tcPr>
          <w:p w:rsidR="00447CEF" w:rsidRPr="00447CEF" w:rsidRDefault="00447CEF" w:rsidP="00DE63BD">
            <w:pPr>
              <w:spacing w:line="254" w:lineRule="auto"/>
              <w:ind w:right="142"/>
              <w:jc w:val="center"/>
              <w:rPr>
                <w:rFonts w:ascii="Times New Roman" w:hAnsi="Times New Roman"/>
                <w:color w:val="000000"/>
              </w:rPr>
            </w:pPr>
            <w:r w:rsidRPr="00447CEF">
              <w:rPr>
                <w:rFonts w:ascii="Times New Roman" w:hAnsi="Times New Roman"/>
                <w:color w:val="000000"/>
              </w:rPr>
              <w:t xml:space="preserve">Протез голени модульный, в том числе при недоразвитии </w:t>
            </w:r>
          </w:p>
        </w:tc>
        <w:tc>
          <w:tcPr>
            <w:tcW w:w="6095" w:type="dxa"/>
            <w:tcBorders>
              <w:top w:val="single" w:sz="4" w:space="0" w:color="000000"/>
              <w:left w:val="single" w:sz="4" w:space="0" w:color="000000"/>
              <w:bottom w:val="single" w:sz="4" w:space="0" w:color="000000"/>
              <w:right w:val="single" w:sz="4" w:space="0" w:color="000000"/>
            </w:tcBorders>
          </w:tcPr>
          <w:p w:rsidR="00447CEF" w:rsidRPr="00447CEF" w:rsidRDefault="00447CEF" w:rsidP="00447CEF">
            <w:pPr>
              <w:spacing w:line="192" w:lineRule="auto"/>
              <w:ind w:right="101"/>
              <w:jc w:val="both"/>
              <w:rPr>
                <w:rFonts w:ascii="Times New Roman" w:hAnsi="Times New Roman"/>
                <w:color w:val="000000"/>
              </w:rPr>
            </w:pPr>
            <w:r w:rsidRPr="00447CEF">
              <w:rPr>
                <w:rFonts w:ascii="Times New Roman" w:hAnsi="Times New Roman"/>
                <w:color w:val="000000"/>
              </w:rPr>
              <w:t xml:space="preserve">Протез голени модульный, в том числе при недоразвитии, среднего уровня активности. Формообразующая часть облицовки – мягкая полиуретановая. Косметическое покрытие облицовки – чулки полиамидные ортопедические. Приемная гильза пробная по слепку из листового термопласта. Приемная гильза постоянная по слепку из слоистого пластика на основе связующих смол. Вкладной элемент - чехол из полимерных материалов. Регулировочно-соединительные устройства на нагрузку не менее 100 кг (включительно). Стопа </w:t>
            </w:r>
            <w:proofErr w:type="spellStart"/>
            <w:r w:rsidRPr="00447CEF">
              <w:rPr>
                <w:rFonts w:ascii="Times New Roman" w:hAnsi="Times New Roman"/>
                <w:color w:val="000000"/>
              </w:rPr>
              <w:t>углепластиковая</w:t>
            </w:r>
            <w:proofErr w:type="spellEnd"/>
            <w:r w:rsidRPr="00447CEF">
              <w:rPr>
                <w:rFonts w:ascii="Times New Roman" w:hAnsi="Times New Roman"/>
                <w:color w:val="000000"/>
              </w:rPr>
              <w:t xml:space="preserve"> со средней степенью энергосбережения. Крепление протеза с использованием замка для полимерных чехлов, крепление вакуумное с герметизирующим коленным бандажом (по медицинским показаниям). Чехлы шерстяные, хлопчатобумажные, полиамидные – 4 шт. (по выбору получателя). Постоянный.</w:t>
            </w:r>
          </w:p>
        </w:tc>
        <w:tc>
          <w:tcPr>
            <w:tcW w:w="1134" w:type="dxa"/>
            <w:tcBorders>
              <w:top w:val="single" w:sz="4" w:space="0" w:color="000000"/>
              <w:left w:val="single" w:sz="4" w:space="0" w:color="000000"/>
              <w:bottom w:val="single" w:sz="4" w:space="0" w:color="000000"/>
              <w:right w:val="single" w:sz="4" w:space="0" w:color="000000"/>
            </w:tcBorders>
          </w:tcPr>
          <w:p w:rsidR="00447CEF" w:rsidRPr="00447CEF" w:rsidRDefault="00447CEF" w:rsidP="00447CEF">
            <w:pPr>
              <w:ind w:right="55"/>
              <w:jc w:val="center"/>
              <w:rPr>
                <w:rFonts w:ascii="Times New Roman" w:hAnsi="Times New Roman"/>
                <w:color w:val="000000"/>
              </w:rPr>
            </w:pPr>
            <w:r w:rsidRPr="00447CEF">
              <w:rPr>
                <w:rFonts w:ascii="Times New Roman" w:hAnsi="Times New Roman"/>
                <w:color w:val="000000"/>
              </w:rPr>
              <w:t>наличие</w:t>
            </w:r>
          </w:p>
        </w:tc>
        <w:tc>
          <w:tcPr>
            <w:tcW w:w="1134" w:type="dxa"/>
            <w:tcBorders>
              <w:top w:val="single" w:sz="4" w:space="0" w:color="000000"/>
              <w:left w:val="single" w:sz="4" w:space="0" w:color="000000"/>
              <w:bottom w:val="single" w:sz="4" w:space="0" w:color="000000"/>
              <w:right w:val="single" w:sz="4" w:space="0" w:color="000000"/>
            </w:tcBorders>
          </w:tcPr>
          <w:p w:rsidR="00447CEF" w:rsidRPr="00447CEF" w:rsidRDefault="00447CEF" w:rsidP="00447CEF">
            <w:pPr>
              <w:ind w:right="55"/>
              <w:jc w:val="center"/>
              <w:rPr>
                <w:rFonts w:ascii="Times New Roman" w:hAnsi="Times New Roman"/>
                <w:color w:val="000000"/>
              </w:rPr>
            </w:pPr>
            <w:r w:rsidRPr="00447CEF">
              <w:rPr>
                <w:rFonts w:ascii="Times New Roman" w:hAnsi="Times New Roman"/>
                <w:color w:val="000000"/>
                <w:sz w:val="24"/>
                <w:szCs w:val="24"/>
              </w:rPr>
              <w:t>шт.</w:t>
            </w:r>
          </w:p>
        </w:tc>
      </w:tr>
      <w:tr w:rsidR="00447CEF" w:rsidRPr="00447CEF" w:rsidTr="003A7AC6">
        <w:trPr>
          <w:trHeight w:val="512"/>
        </w:trPr>
        <w:tc>
          <w:tcPr>
            <w:tcW w:w="696" w:type="dxa"/>
            <w:tcBorders>
              <w:top w:val="single" w:sz="4" w:space="0" w:color="000000"/>
              <w:left w:val="single" w:sz="4" w:space="0" w:color="000000"/>
              <w:bottom w:val="single" w:sz="4" w:space="0" w:color="000000"/>
              <w:right w:val="single" w:sz="4" w:space="0" w:color="000000"/>
            </w:tcBorders>
          </w:tcPr>
          <w:p w:rsidR="00447CEF" w:rsidRPr="00447CEF" w:rsidRDefault="00447CEF" w:rsidP="00447CEF">
            <w:pPr>
              <w:ind w:right="55"/>
              <w:jc w:val="center"/>
              <w:rPr>
                <w:rFonts w:ascii="Times New Roman" w:hAnsi="Times New Roman"/>
                <w:color w:val="000000"/>
              </w:rPr>
            </w:pPr>
            <w:r w:rsidRPr="00447CEF">
              <w:rPr>
                <w:rFonts w:ascii="Times New Roman" w:hAnsi="Times New Roman"/>
                <w:color w:val="000000"/>
              </w:rPr>
              <w:t>7</w:t>
            </w:r>
          </w:p>
        </w:tc>
        <w:tc>
          <w:tcPr>
            <w:tcW w:w="1289" w:type="dxa"/>
            <w:tcBorders>
              <w:top w:val="single" w:sz="4" w:space="0" w:color="000000"/>
              <w:left w:val="single" w:sz="4" w:space="0" w:color="000000"/>
              <w:bottom w:val="single" w:sz="4" w:space="0" w:color="000000"/>
              <w:right w:val="single" w:sz="4" w:space="0" w:color="000000"/>
            </w:tcBorders>
          </w:tcPr>
          <w:p w:rsidR="00447CEF" w:rsidRPr="00447CEF" w:rsidRDefault="00447CEF" w:rsidP="00DE63BD">
            <w:pPr>
              <w:spacing w:line="254" w:lineRule="auto"/>
              <w:ind w:right="142"/>
              <w:jc w:val="center"/>
              <w:rPr>
                <w:rFonts w:ascii="Times New Roman" w:hAnsi="Times New Roman"/>
                <w:color w:val="000000"/>
              </w:rPr>
            </w:pPr>
            <w:r w:rsidRPr="00447CEF">
              <w:rPr>
                <w:rFonts w:ascii="Times New Roman" w:hAnsi="Times New Roman"/>
                <w:color w:val="000000"/>
              </w:rPr>
              <w:t xml:space="preserve">Протез голени модульный, в том числе при недоразвитии </w:t>
            </w:r>
          </w:p>
        </w:tc>
        <w:tc>
          <w:tcPr>
            <w:tcW w:w="6095" w:type="dxa"/>
            <w:tcBorders>
              <w:top w:val="single" w:sz="4" w:space="0" w:color="000000"/>
              <w:left w:val="single" w:sz="4" w:space="0" w:color="000000"/>
              <w:bottom w:val="single" w:sz="4" w:space="0" w:color="000000"/>
              <w:right w:val="single" w:sz="4" w:space="0" w:color="000000"/>
            </w:tcBorders>
          </w:tcPr>
          <w:p w:rsidR="00447CEF" w:rsidRPr="00447CEF" w:rsidRDefault="00447CEF" w:rsidP="00447CEF">
            <w:pPr>
              <w:spacing w:line="192" w:lineRule="auto"/>
              <w:ind w:right="55"/>
              <w:jc w:val="both"/>
              <w:rPr>
                <w:rFonts w:ascii="Times New Roman" w:hAnsi="Times New Roman"/>
                <w:color w:val="000000"/>
              </w:rPr>
            </w:pPr>
            <w:r w:rsidRPr="00447CEF">
              <w:rPr>
                <w:rFonts w:ascii="Times New Roman" w:hAnsi="Times New Roman"/>
                <w:color w:val="000000"/>
              </w:rPr>
              <w:t xml:space="preserve">Протез голени модульный, в том числе при недоразвитии, высокого уровня активности. Формообразующая часть облицовки – мягкая полиуретановая эластичная. Косметическое покрытие облицовки – чулки полиамидные ортопедические. Приемная гильза пробная по слепку из листового термопласта. Приемная гильза постоянная по слепку из слоистого пластика на основе связующих смол. Вкладной элемент – чехол полимерный гелиевый. Регулировочно-соединительные устройства на нагрузку не менее 100 кг (включительно). Стопа </w:t>
            </w:r>
            <w:proofErr w:type="spellStart"/>
            <w:r w:rsidRPr="00447CEF">
              <w:rPr>
                <w:rFonts w:ascii="Times New Roman" w:hAnsi="Times New Roman"/>
                <w:color w:val="000000"/>
              </w:rPr>
              <w:t>углепластиковая</w:t>
            </w:r>
            <w:proofErr w:type="spellEnd"/>
            <w:r w:rsidRPr="00447CEF">
              <w:rPr>
                <w:rFonts w:ascii="Times New Roman" w:hAnsi="Times New Roman"/>
                <w:color w:val="000000"/>
              </w:rPr>
              <w:t xml:space="preserve"> с высокой степенью энергосбережения с расщеплёнными носком и пяткой для безопасной ходьбы по пересеченной местности адаптирующаяся к неровностям опоры во всех плоскостях. Крепление протеза с использованием замка для полимерных чехлов, крепление вакуумное с герметизирующим коленным бандажом (по медицинским показаниям). Постоянный.</w:t>
            </w:r>
          </w:p>
        </w:tc>
        <w:tc>
          <w:tcPr>
            <w:tcW w:w="1134" w:type="dxa"/>
            <w:tcBorders>
              <w:top w:val="single" w:sz="4" w:space="0" w:color="000000"/>
              <w:left w:val="single" w:sz="4" w:space="0" w:color="000000"/>
              <w:bottom w:val="single" w:sz="4" w:space="0" w:color="000000"/>
              <w:right w:val="single" w:sz="4" w:space="0" w:color="000000"/>
            </w:tcBorders>
          </w:tcPr>
          <w:p w:rsidR="00447CEF" w:rsidRPr="00447CEF" w:rsidRDefault="00447CEF" w:rsidP="00447CEF">
            <w:pPr>
              <w:ind w:right="55"/>
              <w:jc w:val="center"/>
              <w:rPr>
                <w:rFonts w:ascii="Times New Roman" w:hAnsi="Times New Roman"/>
                <w:color w:val="000000"/>
              </w:rPr>
            </w:pPr>
            <w:r w:rsidRPr="00447CEF">
              <w:rPr>
                <w:rFonts w:ascii="Times New Roman" w:hAnsi="Times New Roman"/>
                <w:color w:val="000000"/>
              </w:rPr>
              <w:t>наличие</w:t>
            </w:r>
          </w:p>
        </w:tc>
        <w:tc>
          <w:tcPr>
            <w:tcW w:w="1134" w:type="dxa"/>
            <w:tcBorders>
              <w:top w:val="single" w:sz="4" w:space="0" w:color="000000"/>
              <w:left w:val="single" w:sz="4" w:space="0" w:color="000000"/>
              <w:bottom w:val="single" w:sz="4" w:space="0" w:color="000000"/>
              <w:right w:val="single" w:sz="4" w:space="0" w:color="000000"/>
            </w:tcBorders>
          </w:tcPr>
          <w:p w:rsidR="00447CEF" w:rsidRPr="00447CEF" w:rsidRDefault="00447CEF" w:rsidP="00447CEF">
            <w:pPr>
              <w:ind w:right="55"/>
              <w:jc w:val="center"/>
              <w:rPr>
                <w:rFonts w:ascii="Times New Roman" w:hAnsi="Times New Roman"/>
                <w:color w:val="000000"/>
              </w:rPr>
            </w:pPr>
            <w:r w:rsidRPr="00447CEF">
              <w:rPr>
                <w:rFonts w:ascii="Times New Roman" w:hAnsi="Times New Roman"/>
                <w:color w:val="000000"/>
                <w:sz w:val="24"/>
                <w:szCs w:val="24"/>
              </w:rPr>
              <w:t>шт.</w:t>
            </w:r>
          </w:p>
        </w:tc>
      </w:tr>
      <w:tr w:rsidR="00447CEF" w:rsidRPr="00447CEF" w:rsidTr="003A7AC6">
        <w:trPr>
          <w:trHeight w:val="512"/>
        </w:trPr>
        <w:tc>
          <w:tcPr>
            <w:tcW w:w="696" w:type="dxa"/>
            <w:tcBorders>
              <w:top w:val="single" w:sz="4" w:space="0" w:color="000000"/>
              <w:left w:val="single" w:sz="4" w:space="0" w:color="000000"/>
              <w:bottom w:val="single" w:sz="4" w:space="0" w:color="000000"/>
              <w:right w:val="single" w:sz="4" w:space="0" w:color="000000"/>
            </w:tcBorders>
          </w:tcPr>
          <w:p w:rsidR="00447CEF" w:rsidRPr="00447CEF" w:rsidRDefault="00447CEF" w:rsidP="00447CEF">
            <w:pPr>
              <w:ind w:right="108"/>
              <w:jc w:val="center"/>
              <w:rPr>
                <w:rFonts w:ascii="Times New Roman" w:hAnsi="Times New Roman"/>
                <w:color w:val="000000"/>
              </w:rPr>
            </w:pPr>
            <w:r w:rsidRPr="00447CEF">
              <w:rPr>
                <w:rFonts w:ascii="Times New Roman" w:hAnsi="Times New Roman"/>
                <w:color w:val="000000"/>
              </w:rPr>
              <w:t>8</w:t>
            </w:r>
          </w:p>
        </w:tc>
        <w:tc>
          <w:tcPr>
            <w:tcW w:w="1289" w:type="dxa"/>
            <w:tcBorders>
              <w:top w:val="single" w:sz="4" w:space="0" w:color="000000"/>
              <w:left w:val="single" w:sz="4" w:space="0" w:color="000000"/>
              <w:bottom w:val="single" w:sz="4" w:space="0" w:color="000000"/>
              <w:right w:val="single" w:sz="4" w:space="0" w:color="000000"/>
            </w:tcBorders>
          </w:tcPr>
          <w:p w:rsidR="00447CEF" w:rsidRPr="00447CEF" w:rsidRDefault="00447CEF" w:rsidP="00DE63BD">
            <w:pPr>
              <w:spacing w:line="254" w:lineRule="auto"/>
              <w:ind w:right="142"/>
              <w:jc w:val="center"/>
              <w:rPr>
                <w:rFonts w:ascii="Times New Roman" w:hAnsi="Times New Roman"/>
                <w:color w:val="000000"/>
              </w:rPr>
            </w:pPr>
            <w:r w:rsidRPr="00447CEF">
              <w:rPr>
                <w:rFonts w:ascii="Times New Roman" w:hAnsi="Times New Roman"/>
                <w:color w:val="000000"/>
              </w:rPr>
              <w:t xml:space="preserve">Протез голени модульный, в том </w:t>
            </w:r>
            <w:r w:rsidRPr="00447CEF">
              <w:rPr>
                <w:rFonts w:ascii="Times New Roman" w:hAnsi="Times New Roman"/>
                <w:color w:val="000000"/>
              </w:rPr>
              <w:lastRenderedPageBreak/>
              <w:t xml:space="preserve">числе при недоразвитии </w:t>
            </w:r>
          </w:p>
        </w:tc>
        <w:tc>
          <w:tcPr>
            <w:tcW w:w="6095" w:type="dxa"/>
            <w:tcBorders>
              <w:top w:val="single" w:sz="4" w:space="0" w:color="000000"/>
              <w:left w:val="single" w:sz="4" w:space="0" w:color="000000"/>
              <w:bottom w:val="single" w:sz="4" w:space="0" w:color="000000"/>
              <w:right w:val="single" w:sz="4" w:space="0" w:color="000000"/>
            </w:tcBorders>
          </w:tcPr>
          <w:p w:rsidR="00447CEF" w:rsidRPr="00447CEF" w:rsidRDefault="00447CEF" w:rsidP="00447CEF">
            <w:pPr>
              <w:spacing w:line="192" w:lineRule="auto"/>
              <w:ind w:right="108"/>
              <w:jc w:val="both"/>
              <w:rPr>
                <w:rFonts w:ascii="Times New Roman" w:hAnsi="Times New Roman"/>
                <w:color w:val="000000"/>
              </w:rPr>
            </w:pPr>
            <w:r w:rsidRPr="00447CEF">
              <w:rPr>
                <w:rFonts w:ascii="Times New Roman" w:hAnsi="Times New Roman"/>
                <w:color w:val="000000"/>
              </w:rPr>
              <w:lastRenderedPageBreak/>
              <w:t xml:space="preserve">Протез голени модульный, в том числе при недоразвитии, высокого уровня активности. Формообразующая часть облицовки – мягкая полиуретановая эластичная. Косметическое покрытие облицовки – чулки полиамидные ортопедические. Приемная гильза пробная по слепку из </w:t>
            </w:r>
            <w:r w:rsidRPr="00447CEF">
              <w:rPr>
                <w:rFonts w:ascii="Times New Roman" w:hAnsi="Times New Roman"/>
                <w:color w:val="000000"/>
              </w:rPr>
              <w:lastRenderedPageBreak/>
              <w:t xml:space="preserve">листового термопласта. Приемная гильза постоянная по слепку из слоистого пластика на основе связующих смол. Вкладной элемент-чехол полимерный гелиевый. Регулировочно-соединительные устройства на нагрузку не менее 100 кг (включительно). Стопа </w:t>
            </w:r>
            <w:proofErr w:type="spellStart"/>
            <w:r w:rsidRPr="00447CEF">
              <w:rPr>
                <w:rFonts w:ascii="Times New Roman" w:hAnsi="Times New Roman"/>
                <w:color w:val="000000"/>
              </w:rPr>
              <w:t>углепластиковая</w:t>
            </w:r>
            <w:proofErr w:type="spellEnd"/>
            <w:r w:rsidRPr="00447CEF">
              <w:rPr>
                <w:rFonts w:ascii="Times New Roman" w:hAnsi="Times New Roman"/>
                <w:color w:val="000000"/>
              </w:rPr>
              <w:t xml:space="preserve"> с высокой степенью энергосбережения с расщепленной носочной частью, отведенным первым пальцем, активной пяткой, позволяющей самостоятельно производить регулировку высоты каблука в диапазоне от 0 (включительно) до 7,0 см (включительно), стопа </w:t>
            </w:r>
            <w:proofErr w:type="spellStart"/>
            <w:r w:rsidRPr="00447CEF">
              <w:rPr>
                <w:rFonts w:ascii="Times New Roman" w:hAnsi="Times New Roman"/>
                <w:color w:val="000000"/>
              </w:rPr>
              <w:t>углепластиковая</w:t>
            </w:r>
            <w:proofErr w:type="spellEnd"/>
            <w:r w:rsidRPr="00447CEF">
              <w:rPr>
                <w:rFonts w:ascii="Times New Roman" w:hAnsi="Times New Roman"/>
                <w:color w:val="000000"/>
              </w:rPr>
              <w:t xml:space="preserve"> с высокой степенью энергосбережения с гидравлическим голеностопным шарниром. Крепление протеза с использованием замка для полимерных чехлов, крепление вакуумное с герметизирующим коленным бандажом (по медицинским показаниям). Постоянный.</w:t>
            </w:r>
          </w:p>
        </w:tc>
        <w:tc>
          <w:tcPr>
            <w:tcW w:w="1134" w:type="dxa"/>
            <w:tcBorders>
              <w:top w:val="single" w:sz="4" w:space="0" w:color="000000"/>
              <w:left w:val="single" w:sz="4" w:space="0" w:color="000000"/>
              <w:bottom w:val="single" w:sz="4" w:space="0" w:color="000000"/>
              <w:right w:val="single" w:sz="4" w:space="0" w:color="000000"/>
            </w:tcBorders>
          </w:tcPr>
          <w:p w:rsidR="00447CEF" w:rsidRPr="00447CEF" w:rsidRDefault="00447CEF" w:rsidP="00447CEF">
            <w:pPr>
              <w:ind w:right="108"/>
              <w:jc w:val="center"/>
              <w:rPr>
                <w:rFonts w:ascii="Times New Roman" w:hAnsi="Times New Roman"/>
                <w:color w:val="000000"/>
              </w:rPr>
            </w:pPr>
            <w:r w:rsidRPr="00447CEF">
              <w:rPr>
                <w:rFonts w:ascii="Times New Roman" w:hAnsi="Times New Roman"/>
                <w:color w:val="000000"/>
              </w:rPr>
              <w:lastRenderedPageBreak/>
              <w:t>наличие</w:t>
            </w:r>
          </w:p>
        </w:tc>
        <w:tc>
          <w:tcPr>
            <w:tcW w:w="1134" w:type="dxa"/>
            <w:tcBorders>
              <w:top w:val="single" w:sz="4" w:space="0" w:color="000000"/>
              <w:left w:val="single" w:sz="4" w:space="0" w:color="000000"/>
              <w:bottom w:val="single" w:sz="4" w:space="0" w:color="000000"/>
              <w:right w:val="single" w:sz="4" w:space="0" w:color="000000"/>
            </w:tcBorders>
          </w:tcPr>
          <w:p w:rsidR="00447CEF" w:rsidRPr="00447CEF" w:rsidRDefault="00447CEF" w:rsidP="00447CEF">
            <w:pPr>
              <w:ind w:right="108"/>
              <w:jc w:val="center"/>
              <w:rPr>
                <w:rFonts w:ascii="Times New Roman" w:hAnsi="Times New Roman"/>
                <w:color w:val="000000"/>
              </w:rPr>
            </w:pPr>
            <w:r w:rsidRPr="00447CEF">
              <w:rPr>
                <w:rFonts w:ascii="Times New Roman" w:hAnsi="Times New Roman"/>
                <w:color w:val="000000"/>
                <w:sz w:val="24"/>
                <w:szCs w:val="24"/>
              </w:rPr>
              <w:t>шт.</w:t>
            </w:r>
          </w:p>
        </w:tc>
      </w:tr>
      <w:tr w:rsidR="00447CEF" w:rsidRPr="00447CEF" w:rsidTr="003A7AC6">
        <w:trPr>
          <w:trHeight w:val="512"/>
        </w:trPr>
        <w:tc>
          <w:tcPr>
            <w:tcW w:w="696" w:type="dxa"/>
            <w:tcBorders>
              <w:top w:val="single" w:sz="4" w:space="0" w:color="000000"/>
              <w:left w:val="single" w:sz="4" w:space="0" w:color="000000"/>
              <w:bottom w:val="single" w:sz="4" w:space="0" w:color="000000"/>
              <w:right w:val="single" w:sz="4" w:space="0" w:color="000000"/>
            </w:tcBorders>
          </w:tcPr>
          <w:p w:rsidR="00447CEF" w:rsidRPr="00447CEF" w:rsidRDefault="00447CEF" w:rsidP="00447CEF">
            <w:pPr>
              <w:ind w:right="108"/>
              <w:jc w:val="center"/>
              <w:rPr>
                <w:rFonts w:ascii="Times New Roman" w:hAnsi="Times New Roman"/>
                <w:color w:val="000000"/>
              </w:rPr>
            </w:pPr>
            <w:r w:rsidRPr="00447CEF">
              <w:rPr>
                <w:rFonts w:ascii="Times New Roman" w:hAnsi="Times New Roman"/>
                <w:color w:val="000000"/>
              </w:rPr>
              <w:lastRenderedPageBreak/>
              <w:t>9</w:t>
            </w:r>
          </w:p>
        </w:tc>
        <w:tc>
          <w:tcPr>
            <w:tcW w:w="1289" w:type="dxa"/>
            <w:tcBorders>
              <w:top w:val="single" w:sz="4" w:space="0" w:color="000000"/>
              <w:left w:val="single" w:sz="4" w:space="0" w:color="000000"/>
              <w:bottom w:val="single" w:sz="4" w:space="0" w:color="000000"/>
              <w:right w:val="single" w:sz="4" w:space="0" w:color="000000"/>
            </w:tcBorders>
          </w:tcPr>
          <w:p w:rsidR="00447CEF" w:rsidRPr="00447CEF" w:rsidRDefault="00447CEF" w:rsidP="00DE63BD">
            <w:pPr>
              <w:spacing w:line="254" w:lineRule="auto"/>
              <w:ind w:right="142"/>
              <w:jc w:val="center"/>
              <w:rPr>
                <w:rFonts w:ascii="Times New Roman" w:hAnsi="Times New Roman"/>
                <w:color w:val="000000"/>
              </w:rPr>
            </w:pPr>
            <w:r w:rsidRPr="00447CEF">
              <w:rPr>
                <w:rFonts w:ascii="Times New Roman" w:hAnsi="Times New Roman"/>
                <w:color w:val="000000"/>
              </w:rPr>
              <w:t xml:space="preserve">Протез голени модульный, в том числе при недоразвитии </w:t>
            </w:r>
          </w:p>
        </w:tc>
        <w:tc>
          <w:tcPr>
            <w:tcW w:w="6095" w:type="dxa"/>
            <w:tcBorders>
              <w:top w:val="single" w:sz="4" w:space="0" w:color="000000"/>
              <w:left w:val="single" w:sz="4" w:space="0" w:color="000000"/>
              <w:bottom w:val="single" w:sz="4" w:space="0" w:color="000000"/>
              <w:right w:val="single" w:sz="4" w:space="0" w:color="000000"/>
            </w:tcBorders>
          </w:tcPr>
          <w:p w:rsidR="00447CEF" w:rsidRPr="00447CEF" w:rsidRDefault="00447CEF" w:rsidP="00447CEF">
            <w:pPr>
              <w:spacing w:line="192" w:lineRule="auto"/>
              <w:ind w:right="108"/>
              <w:jc w:val="both"/>
              <w:rPr>
                <w:rFonts w:ascii="Times New Roman" w:hAnsi="Times New Roman"/>
                <w:color w:val="000000"/>
              </w:rPr>
            </w:pPr>
            <w:r w:rsidRPr="00447CEF">
              <w:rPr>
                <w:rFonts w:ascii="Times New Roman" w:hAnsi="Times New Roman"/>
                <w:color w:val="000000"/>
              </w:rPr>
              <w:t xml:space="preserve">Протез голени модульный, в том числе при недоразвитии, высокого уровня активности.  Формообразующая часть облицовки – мягкая полиуретановая эластичная. Косметическое покрытие облицовки – чулки полиамидные ортопедические. Приемная гильза пробная по слепку из листового термопласта. Приемная гильза постоянная по слепку из слоистого пластика на основе связующих смол. Вкладной элемент чехол из полимерных материалов. Регулировочно-соединительные устройства на нагрузку не менее 100 кг (включительно). Стопа </w:t>
            </w:r>
            <w:proofErr w:type="spellStart"/>
            <w:r w:rsidRPr="00447CEF">
              <w:rPr>
                <w:rFonts w:ascii="Times New Roman" w:hAnsi="Times New Roman"/>
                <w:color w:val="000000"/>
              </w:rPr>
              <w:t>углепластиковая</w:t>
            </w:r>
            <w:proofErr w:type="spellEnd"/>
            <w:r w:rsidRPr="00447CEF">
              <w:rPr>
                <w:rFonts w:ascii="Times New Roman" w:hAnsi="Times New Roman"/>
                <w:color w:val="000000"/>
              </w:rPr>
              <w:t xml:space="preserve"> с высокой степенью энергосбережения с расщепленной носочной частью, отведенным первым пальцем, активной пяткой, позволяющей самостоятельно производить регулировку высоты каблука в диапазоне от 0 (включительно) до 7,0 см (включительно), стопа </w:t>
            </w:r>
            <w:proofErr w:type="spellStart"/>
            <w:r w:rsidRPr="00447CEF">
              <w:rPr>
                <w:rFonts w:ascii="Times New Roman" w:hAnsi="Times New Roman"/>
                <w:color w:val="000000"/>
              </w:rPr>
              <w:t>углепластиковая</w:t>
            </w:r>
            <w:proofErr w:type="spellEnd"/>
            <w:r w:rsidRPr="00447CEF">
              <w:rPr>
                <w:rFonts w:ascii="Times New Roman" w:hAnsi="Times New Roman"/>
                <w:color w:val="000000"/>
              </w:rPr>
              <w:t xml:space="preserve"> с высокой степенью энергосбережения с гидравлическим голеностопным шарниром.  Крепление протеза с использованием замка для полимерных чехлов, крепление вакуумное с герметизирующим коленным бандажом (по медицинским показаниям). Чехлы шерстяные, хлопчатобумажные, полиамидные – 4 шт. (по выбору Получателя). Постоянный.</w:t>
            </w:r>
          </w:p>
        </w:tc>
        <w:tc>
          <w:tcPr>
            <w:tcW w:w="1134" w:type="dxa"/>
            <w:tcBorders>
              <w:top w:val="single" w:sz="4" w:space="0" w:color="000000"/>
              <w:left w:val="single" w:sz="4" w:space="0" w:color="000000"/>
              <w:bottom w:val="single" w:sz="4" w:space="0" w:color="000000"/>
              <w:right w:val="single" w:sz="4" w:space="0" w:color="000000"/>
            </w:tcBorders>
          </w:tcPr>
          <w:p w:rsidR="00447CEF" w:rsidRPr="00447CEF" w:rsidRDefault="00447CEF" w:rsidP="00447CEF">
            <w:pPr>
              <w:ind w:right="108"/>
              <w:jc w:val="center"/>
              <w:rPr>
                <w:rFonts w:ascii="Times New Roman" w:hAnsi="Times New Roman"/>
                <w:color w:val="000000"/>
              </w:rPr>
            </w:pPr>
            <w:r w:rsidRPr="00447CEF">
              <w:rPr>
                <w:rFonts w:ascii="Times New Roman" w:hAnsi="Times New Roman"/>
                <w:color w:val="000000"/>
              </w:rPr>
              <w:t>наличие</w:t>
            </w:r>
          </w:p>
        </w:tc>
        <w:tc>
          <w:tcPr>
            <w:tcW w:w="1134" w:type="dxa"/>
            <w:tcBorders>
              <w:top w:val="single" w:sz="4" w:space="0" w:color="000000"/>
              <w:left w:val="single" w:sz="4" w:space="0" w:color="000000"/>
              <w:bottom w:val="single" w:sz="4" w:space="0" w:color="000000"/>
              <w:right w:val="single" w:sz="4" w:space="0" w:color="000000"/>
            </w:tcBorders>
          </w:tcPr>
          <w:p w:rsidR="00447CEF" w:rsidRPr="00447CEF" w:rsidRDefault="00447CEF" w:rsidP="00447CEF">
            <w:pPr>
              <w:ind w:right="108"/>
              <w:jc w:val="center"/>
              <w:rPr>
                <w:rFonts w:ascii="Times New Roman" w:hAnsi="Times New Roman"/>
                <w:color w:val="000000"/>
              </w:rPr>
            </w:pPr>
            <w:r w:rsidRPr="00447CEF">
              <w:rPr>
                <w:rFonts w:ascii="Times New Roman" w:hAnsi="Times New Roman"/>
                <w:color w:val="000000"/>
                <w:sz w:val="24"/>
                <w:szCs w:val="24"/>
              </w:rPr>
              <w:t>шт.</w:t>
            </w:r>
          </w:p>
        </w:tc>
      </w:tr>
    </w:tbl>
    <w:p w:rsidR="00447CEF" w:rsidRPr="00A64DEB" w:rsidRDefault="00447CEF" w:rsidP="00447CEF">
      <w:pPr>
        <w:spacing w:after="0"/>
        <w:ind w:right="626"/>
        <w:rPr>
          <w:rFonts w:ascii="Times New Roman" w:eastAsia="Times New Roman" w:hAnsi="Times New Roman" w:cs="Times New Roman"/>
          <w:color w:val="000000"/>
          <w:sz w:val="24"/>
          <w:szCs w:val="24"/>
          <w:lang w:eastAsia="ru-RU"/>
        </w:rPr>
      </w:pPr>
    </w:p>
    <w:p w:rsidR="00447CEF" w:rsidRPr="00A64DEB" w:rsidRDefault="00447CEF" w:rsidP="00447CEF">
      <w:pPr>
        <w:spacing w:after="0" w:line="16" w:lineRule="atLeast"/>
        <w:rPr>
          <w:rFonts w:ascii="Times New Roman" w:eastAsia="Times New Roman" w:hAnsi="Times New Roman" w:cs="Times New Roman"/>
          <w:color w:val="000000"/>
          <w:sz w:val="24"/>
          <w:szCs w:val="24"/>
          <w:lang w:eastAsia="ru-RU"/>
        </w:rPr>
      </w:pPr>
      <w:r w:rsidRPr="00A64DEB">
        <w:rPr>
          <w:rFonts w:ascii="Times New Roman" w:eastAsia="Times New Roman" w:hAnsi="Times New Roman" w:cs="Times New Roman"/>
          <w:b/>
          <w:color w:val="000000"/>
          <w:sz w:val="24"/>
          <w:szCs w:val="24"/>
          <w:lang w:eastAsia="ru-RU"/>
        </w:rPr>
        <w:t>Обоснование включения дополнительной информации в сведения о товаре, работе, услуге:</w:t>
      </w:r>
    </w:p>
    <w:p w:rsidR="00447CEF" w:rsidRPr="00A64DEB" w:rsidRDefault="00447CEF" w:rsidP="00447CEF">
      <w:pPr>
        <w:numPr>
          <w:ilvl w:val="0"/>
          <w:numId w:val="2"/>
        </w:numPr>
        <w:spacing w:after="5" w:line="16" w:lineRule="atLeast"/>
        <w:jc w:val="both"/>
        <w:rPr>
          <w:rFonts w:ascii="Times New Roman" w:eastAsia="Times New Roman" w:hAnsi="Times New Roman" w:cs="Times New Roman"/>
          <w:color w:val="000000"/>
          <w:sz w:val="24"/>
          <w:szCs w:val="24"/>
          <w:lang w:eastAsia="ru-RU"/>
        </w:rPr>
      </w:pPr>
      <w:r w:rsidRPr="00A64DEB">
        <w:rPr>
          <w:rFonts w:ascii="Times New Roman" w:eastAsia="Times New Roman" w:hAnsi="Times New Roman" w:cs="Times New Roman"/>
          <w:color w:val="000000"/>
          <w:sz w:val="24"/>
          <w:szCs w:val="24"/>
          <w:lang w:eastAsia="ru-RU"/>
        </w:rPr>
        <w:t xml:space="preserve">Методические рекомендации по установлению медицинских показаний и противопоказаний при назначении специалистами МСЭ ТСР получателя и методика их рационального подбора (Издание третье, переработанное и дополненное, 2018 г.). </w:t>
      </w:r>
    </w:p>
    <w:p w:rsidR="00447CEF" w:rsidRPr="00A64DEB" w:rsidRDefault="00447CEF" w:rsidP="00447CEF">
      <w:pPr>
        <w:spacing w:after="5" w:line="16" w:lineRule="atLeast"/>
        <w:jc w:val="both"/>
        <w:rPr>
          <w:rFonts w:ascii="Times New Roman" w:eastAsia="Times New Roman" w:hAnsi="Times New Roman" w:cs="Times New Roman"/>
          <w:color w:val="000000"/>
          <w:sz w:val="24"/>
          <w:szCs w:val="24"/>
          <w:lang w:eastAsia="ru-RU"/>
        </w:rPr>
      </w:pPr>
      <w:r w:rsidRPr="00A64DEB">
        <w:rPr>
          <w:rFonts w:ascii="Times New Roman" w:eastAsia="Times New Roman" w:hAnsi="Times New Roman" w:cs="Times New Roman"/>
          <w:color w:val="000000"/>
          <w:sz w:val="24"/>
          <w:szCs w:val="24"/>
          <w:lang w:eastAsia="ru-RU"/>
        </w:rPr>
        <w:t>2.1. Качественные характеристики Изделий.</w:t>
      </w:r>
    </w:p>
    <w:p w:rsidR="00447CEF" w:rsidRPr="00A64DEB" w:rsidRDefault="00447CEF" w:rsidP="00256011">
      <w:pPr>
        <w:numPr>
          <w:ilvl w:val="2"/>
          <w:numId w:val="3"/>
        </w:numPr>
        <w:spacing w:after="5" w:line="16" w:lineRule="atLeast"/>
        <w:ind w:left="0"/>
        <w:jc w:val="both"/>
        <w:rPr>
          <w:rFonts w:ascii="Times New Roman" w:eastAsia="Times New Roman" w:hAnsi="Times New Roman" w:cs="Times New Roman"/>
          <w:color w:val="000000"/>
          <w:sz w:val="24"/>
          <w:szCs w:val="24"/>
          <w:lang w:eastAsia="ru-RU"/>
        </w:rPr>
      </w:pPr>
      <w:r w:rsidRPr="00A64DEB">
        <w:rPr>
          <w:rFonts w:ascii="Times New Roman" w:eastAsia="Times New Roman" w:hAnsi="Times New Roman" w:cs="Times New Roman"/>
          <w:color w:val="000000"/>
          <w:sz w:val="24"/>
          <w:szCs w:val="24"/>
          <w:lang w:eastAsia="ru-RU"/>
        </w:rPr>
        <w:t>При использовании Изделий по назначению не должно создаваться угрозы для жизни и здоровья потребителя, окружающей среды, а также использование Изделий не должно причинять вред имуществу потребителя при его эксплуатации (Закон Российской Федерации от 07.02.1992 № 2300-1 «О защите прав потребителей»).</w:t>
      </w:r>
    </w:p>
    <w:p w:rsidR="00447CEF" w:rsidRPr="00A64DEB" w:rsidRDefault="00447CEF" w:rsidP="00256011">
      <w:pPr>
        <w:numPr>
          <w:ilvl w:val="2"/>
          <w:numId w:val="3"/>
        </w:numPr>
        <w:spacing w:after="5" w:line="16" w:lineRule="atLeast"/>
        <w:ind w:left="0"/>
        <w:jc w:val="both"/>
        <w:rPr>
          <w:rFonts w:ascii="Times New Roman" w:eastAsia="Times New Roman" w:hAnsi="Times New Roman" w:cs="Times New Roman"/>
          <w:color w:val="000000"/>
          <w:sz w:val="24"/>
          <w:szCs w:val="24"/>
          <w:lang w:eastAsia="ru-RU"/>
        </w:rPr>
      </w:pPr>
      <w:r w:rsidRPr="00A64DEB">
        <w:rPr>
          <w:rFonts w:ascii="Times New Roman" w:eastAsia="Times New Roman" w:hAnsi="Times New Roman" w:cs="Times New Roman"/>
          <w:color w:val="000000"/>
          <w:sz w:val="24"/>
          <w:szCs w:val="24"/>
          <w:lang w:eastAsia="ru-RU"/>
        </w:rPr>
        <w:t xml:space="preserve">Изделия должны соответствовать требованиям государственных стандартов (ГОСТ), действующих на территории Российской Федерации: </w:t>
      </w:r>
    </w:p>
    <w:p w:rsidR="00447CEF" w:rsidRPr="00A64DEB" w:rsidRDefault="00447CEF" w:rsidP="00256011">
      <w:pPr>
        <w:spacing w:after="5" w:line="16" w:lineRule="atLeast"/>
        <w:jc w:val="both"/>
        <w:rPr>
          <w:rFonts w:ascii="Times New Roman" w:eastAsia="Times New Roman" w:hAnsi="Times New Roman" w:cs="Times New Roman"/>
          <w:color w:val="000000"/>
          <w:sz w:val="24"/>
          <w:szCs w:val="24"/>
          <w:lang w:eastAsia="ru-RU"/>
        </w:rPr>
      </w:pPr>
      <w:r w:rsidRPr="00A64DEB">
        <w:rPr>
          <w:rFonts w:ascii="Times New Roman" w:eastAsia="Times New Roman" w:hAnsi="Times New Roman" w:cs="Times New Roman"/>
          <w:color w:val="000000"/>
          <w:sz w:val="24"/>
          <w:szCs w:val="24"/>
          <w:lang w:eastAsia="ru-RU"/>
        </w:rPr>
        <w:t>- ГОСТ ISO 10993-1-2021 «Изделия медицинские. Оценка биологического действия медицинских изделий. Часть 1. Оценка и исследования в процессе менеджмента риска»;</w:t>
      </w:r>
    </w:p>
    <w:p w:rsidR="00447CEF" w:rsidRPr="00A64DEB" w:rsidRDefault="00447CEF" w:rsidP="00256011">
      <w:pPr>
        <w:spacing w:after="5" w:line="16" w:lineRule="atLeast"/>
        <w:jc w:val="both"/>
        <w:rPr>
          <w:rFonts w:ascii="Times New Roman" w:eastAsia="Times New Roman" w:hAnsi="Times New Roman" w:cs="Times New Roman"/>
          <w:color w:val="000000"/>
          <w:sz w:val="24"/>
          <w:szCs w:val="24"/>
          <w:lang w:eastAsia="ru-RU"/>
        </w:rPr>
      </w:pPr>
      <w:r w:rsidRPr="00A64DEB">
        <w:rPr>
          <w:rFonts w:ascii="Times New Roman" w:eastAsia="Times New Roman" w:hAnsi="Times New Roman" w:cs="Times New Roman"/>
          <w:color w:val="000000"/>
          <w:sz w:val="24"/>
          <w:szCs w:val="24"/>
          <w:lang w:eastAsia="ru-RU"/>
        </w:rPr>
        <w:t xml:space="preserve">- ГОСТ ISO 10993-5-2023 «Изделия медицинские. Оценка биологического действия медицинских изделий. Часть 5. Исследования на </w:t>
      </w:r>
      <w:proofErr w:type="spellStart"/>
      <w:r w:rsidRPr="00A64DEB">
        <w:rPr>
          <w:rFonts w:ascii="Times New Roman" w:eastAsia="Times New Roman" w:hAnsi="Times New Roman" w:cs="Times New Roman"/>
          <w:color w:val="000000"/>
          <w:sz w:val="24"/>
          <w:szCs w:val="24"/>
          <w:lang w:eastAsia="ru-RU"/>
        </w:rPr>
        <w:t>цитотоксичность</w:t>
      </w:r>
      <w:proofErr w:type="spellEnd"/>
      <w:r w:rsidRPr="00A64DEB">
        <w:rPr>
          <w:rFonts w:ascii="Times New Roman" w:eastAsia="Times New Roman" w:hAnsi="Times New Roman" w:cs="Times New Roman"/>
          <w:color w:val="000000"/>
          <w:sz w:val="24"/>
          <w:szCs w:val="24"/>
          <w:lang w:eastAsia="ru-RU"/>
        </w:rPr>
        <w:t xml:space="preserve"> методами </w:t>
      </w:r>
      <w:proofErr w:type="spellStart"/>
      <w:r w:rsidRPr="00A64DEB">
        <w:rPr>
          <w:rFonts w:ascii="Times New Roman" w:eastAsia="Times New Roman" w:hAnsi="Times New Roman" w:cs="Times New Roman"/>
          <w:color w:val="000000"/>
          <w:sz w:val="24"/>
          <w:szCs w:val="24"/>
          <w:lang w:eastAsia="ru-RU"/>
        </w:rPr>
        <w:t>in</w:t>
      </w:r>
      <w:proofErr w:type="spellEnd"/>
      <w:r w:rsidRPr="00A64DEB">
        <w:rPr>
          <w:rFonts w:ascii="Times New Roman" w:eastAsia="Times New Roman" w:hAnsi="Times New Roman" w:cs="Times New Roman"/>
          <w:color w:val="000000"/>
          <w:sz w:val="24"/>
          <w:szCs w:val="24"/>
          <w:lang w:eastAsia="ru-RU"/>
        </w:rPr>
        <w:t xml:space="preserve"> </w:t>
      </w:r>
      <w:proofErr w:type="spellStart"/>
      <w:r w:rsidRPr="00A64DEB">
        <w:rPr>
          <w:rFonts w:ascii="Times New Roman" w:eastAsia="Times New Roman" w:hAnsi="Times New Roman" w:cs="Times New Roman"/>
          <w:color w:val="000000"/>
          <w:sz w:val="24"/>
          <w:szCs w:val="24"/>
          <w:lang w:eastAsia="ru-RU"/>
        </w:rPr>
        <w:t>vitro</w:t>
      </w:r>
      <w:proofErr w:type="spellEnd"/>
      <w:r w:rsidRPr="00A64DEB">
        <w:rPr>
          <w:rFonts w:ascii="Times New Roman" w:eastAsia="Times New Roman" w:hAnsi="Times New Roman" w:cs="Times New Roman"/>
          <w:color w:val="000000"/>
          <w:sz w:val="24"/>
          <w:szCs w:val="24"/>
          <w:lang w:eastAsia="ru-RU"/>
        </w:rPr>
        <w:t>»;</w:t>
      </w:r>
    </w:p>
    <w:p w:rsidR="00447CEF" w:rsidRPr="00A64DEB" w:rsidRDefault="00447CEF" w:rsidP="00256011">
      <w:pPr>
        <w:spacing w:after="5" w:line="16" w:lineRule="atLeast"/>
        <w:jc w:val="both"/>
        <w:rPr>
          <w:rFonts w:ascii="Times New Roman" w:eastAsia="Times New Roman" w:hAnsi="Times New Roman" w:cs="Times New Roman"/>
          <w:color w:val="000000"/>
          <w:sz w:val="24"/>
          <w:szCs w:val="24"/>
          <w:lang w:eastAsia="ru-RU"/>
        </w:rPr>
      </w:pPr>
      <w:r w:rsidRPr="00A64DEB">
        <w:rPr>
          <w:rFonts w:ascii="Times New Roman" w:eastAsia="Times New Roman" w:hAnsi="Times New Roman" w:cs="Times New Roman"/>
          <w:color w:val="000000"/>
          <w:sz w:val="24"/>
          <w:szCs w:val="24"/>
          <w:lang w:eastAsia="ru-RU"/>
        </w:rPr>
        <w:t>- ГОСТ ISO 10993-10-2023 «Изделия медицинские. Оценка биологического действия медицинских изделий. Часть 10. Исследования сенсибилизирующего действия»;</w:t>
      </w:r>
    </w:p>
    <w:p w:rsidR="00447CEF" w:rsidRPr="00A64DEB" w:rsidRDefault="00447CEF" w:rsidP="00256011">
      <w:pPr>
        <w:spacing w:after="5" w:line="16" w:lineRule="atLeast"/>
        <w:jc w:val="both"/>
        <w:rPr>
          <w:rFonts w:ascii="Times New Roman" w:eastAsia="Times New Roman" w:hAnsi="Times New Roman" w:cs="Times New Roman"/>
          <w:color w:val="000000"/>
          <w:sz w:val="24"/>
          <w:szCs w:val="24"/>
          <w:lang w:eastAsia="ru-RU"/>
        </w:rPr>
      </w:pPr>
      <w:r w:rsidRPr="00A64DEB">
        <w:rPr>
          <w:rFonts w:ascii="Times New Roman" w:eastAsia="Times New Roman" w:hAnsi="Times New Roman" w:cs="Times New Roman"/>
          <w:color w:val="000000"/>
          <w:sz w:val="24"/>
          <w:szCs w:val="24"/>
          <w:lang w:eastAsia="ru-RU"/>
        </w:rPr>
        <w:t>- ГОСТ Р 52770-2023 «Изделия медицинские. Система оценки биологического действия. Общие требования безопасности»;</w:t>
      </w:r>
    </w:p>
    <w:p w:rsidR="00447CEF" w:rsidRPr="00A64DEB" w:rsidRDefault="00447CEF" w:rsidP="00256011">
      <w:pPr>
        <w:spacing w:after="5" w:line="16" w:lineRule="atLeast"/>
        <w:jc w:val="both"/>
        <w:rPr>
          <w:rFonts w:ascii="Times New Roman" w:eastAsia="Times New Roman" w:hAnsi="Times New Roman" w:cs="Times New Roman"/>
          <w:color w:val="000000"/>
          <w:sz w:val="24"/>
          <w:szCs w:val="24"/>
          <w:lang w:eastAsia="ru-RU"/>
        </w:rPr>
      </w:pPr>
      <w:r w:rsidRPr="00A64DEB">
        <w:rPr>
          <w:rFonts w:ascii="Times New Roman" w:eastAsia="Times New Roman" w:hAnsi="Times New Roman" w:cs="Times New Roman"/>
          <w:color w:val="000000"/>
          <w:sz w:val="24"/>
          <w:szCs w:val="24"/>
          <w:lang w:eastAsia="ru-RU"/>
        </w:rPr>
        <w:t>- ГОСТ Р 51632-2021 «Технические средства реабилитации людей с ограничениями жизнедеятельности. Общие технические требования и методы испытаний»;</w:t>
      </w:r>
    </w:p>
    <w:p w:rsidR="00447CEF" w:rsidRPr="00A64DEB" w:rsidRDefault="00447CEF" w:rsidP="00256011">
      <w:pPr>
        <w:spacing w:after="5" w:line="16" w:lineRule="atLeast"/>
        <w:jc w:val="both"/>
        <w:rPr>
          <w:rFonts w:ascii="Times New Roman" w:eastAsia="Times New Roman" w:hAnsi="Times New Roman" w:cs="Times New Roman"/>
          <w:color w:val="000000"/>
          <w:sz w:val="24"/>
          <w:szCs w:val="24"/>
          <w:lang w:eastAsia="ru-RU"/>
        </w:rPr>
      </w:pPr>
      <w:r w:rsidRPr="00A64DEB">
        <w:rPr>
          <w:rFonts w:ascii="Times New Roman" w:eastAsia="Times New Roman" w:hAnsi="Times New Roman" w:cs="Times New Roman"/>
          <w:color w:val="000000"/>
          <w:sz w:val="24"/>
          <w:szCs w:val="24"/>
          <w:lang w:eastAsia="ru-RU"/>
        </w:rPr>
        <w:t>- ГОСТ Р 53869-2021 «Протезы нижних конечностей. Технические требования».</w:t>
      </w:r>
    </w:p>
    <w:p w:rsidR="00447CEF" w:rsidRPr="00A64DEB" w:rsidRDefault="00447CEF" w:rsidP="00256011">
      <w:pPr>
        <w:spacing w:after="5" w:line="16" w:lineRule="atLeast"/>
        <w:jc w:val="both"/>
        <w:rPr>
          <w:rFonts w:ascii="Times New Roman" w:eastAsia="Times New Roman" w:hAnsi="Times New Roman" w:cs="Times New Roman"/>
          <w:color w:val="000000"/>
          <w:sz w:val="24"/>
          <w:szCs w:val="24"/>
          <w:lang w:eastAsia="ru-RU"/>
        </w:rPr>
      </w:pPr>
      <w:r w:rsidRPr="00A64DEB">
        <w:rPr>
          <w:rFonts w:ascii="Times New Roman" w:eastAsia="Times New Roman" w:hAnsi="Times New Roman" w:cs="Times New Roman"/>
          <w:color w:val="000000"/>
          <w:sz w:val="24"/>
          <w:szCs w:val="24"/>
          <w:lang w:eastAsia="ru-RU"/>
        </w:rPr>
        <w:t xml:space="preserve">Маркировка протезов, а также их упаковка осуществляется с соблюдением требований ГОСТ Р ИСО 22523-2007 «Протезы конечностей и </w:t>
      </w:r>
      <w:proofErr w:type="spellStart"/>
      <w:r w:rsidRPr="00A64DEB">
        <w:rPr>
          <w:rFonts w:ascii="Times New Roman" w:eastAsia="Times New Roman" w:hAnsi="Times New Roman" w:cs="Times New Roman"/>
          <w:color w:val="000000"/>
          <w:sz w:val="24"/>
          <w:szCs w:val="24"/>
          <w:lang w:eastAsia="ru-RU"/>
        </w:rPr>
        <w:t>ортезы</w:t>
      </w:r>
      <w:proofErr w:type="spellEnd"/>
      <w:r w:rsidRPr="00A64DEB">
        <w:rPr>
          <w:rFonts w:ascii="Times New Roman" w:eastAsia="Times New Roman" w:hAnsi="Times New Roman" w:cs="Times New Roman"/>
          <w:color w:val="000000"/>
          <w:sz w:val="24"/>
          <w:szCs w:val="24"/>
          <w:lang w:eastAsia="ru-RU"/>
        </w:rPr>
        <w:t xml:space="preserve"> наружные. Требования и методы испытаний».</w:t>
      </w:r>
    </w:p>
    <w:p w:rsidR="00447CEF" w:rsidRPr="00A64DEB" w:rsidRDefault="00447CEF" w:rsidP="00256011">
      <w:pPr>
        <w:numPr>
          <w:ilvl w:val="1"/>
          <w:numId w:val="4"/>
        </w:numPr>
        <w:spacing w:after="5" w:line="16" w:lineRule="atLeast"/>
        <w:ind w:left="0"/>
        <w:jc w:val="both"/>
        <w:rPr>
          <w:rFonts w:ascii="Times New Roman" w:eastAsia="Times New Roman" w:hAnsi="Times New Roman" w:cs="Times New Roman"/>
          <w:color w:val="000000"/>
          <w:sz w:val="24"/>
          <w:szCs w:val="24"/>
          <w:lang w:eastAsia="ru-RU"/>
        </w:rPr>
      </w:pPr>
      <w:r w:rsidRPr="00A64DEB">
        <w:rPr>
          <w:rFonts w:ascii="Times New Roman" w:eastAsia="Times New Roman" w:hAnsi="Times New Roman" w:cs="Times New Roman"/>
          <w:color w:val="000000"/>
          <w:sz w:val="24"/>
          <w:szCs w:val="24"/>
          <w:lang w:eastAsia="ru-RU"/>
        </w:rPr>
        <w:lastRenderedPageBreak/>
        <w:t xml:space="preserve">Изделия должны быть новыми Изделиями, Изделиями, которые не были в употреблении, в ремонте, в том числе которые не были восстановлены, у которых не была осуществлена замена составных частей, не были восстановлены потребительские свойства. Изделия должны быть свободными от прав третьих лиц. </w:t>
      </w:r>
    </w:p>
    <w:p w:rsidR="00447CEF" w:rsidRPr="00A64DEB" w:rsidRDefault="00447CEF" w:rsidP="00256011">
      <w:pPr>
        <w:numPr>
          <w:ilvl w:val="1"/>
          <w:numId w:val="4"/>
        </w:numPr>
        <w:spacing w:after="5" w:line="16" w:lineRule="atLeast"/>
        <w:ind w:left="0"/>
        <w:jc w:val="both"/>
        <w:rPr>
          <w:rFonts w:ascii="Times New Roman" w:eastAsia="Times New Roman" w:hAnsi="Times New Roman" w:cs="Times New Roman"/>
          <w:color w:val="000000"/>
          <w:sz w:val="24"/>
          <w:szCs w:val="24"/>
          <w:lang w:eastAsia="ru-RU"/>
        </w:rPr>
      </w:pPr>
      <w:r w:rsidRPr="00A64DEB">
        <w:rPr>
          <w:rFonts w:ascii="Times New Roman" w:eastAsia="Times New Roman" w:hAnsi="Times New Roman" w:cs="Times New Roman"/>
          <w:color w:val="000000"/>
          <w:sz w:val="24"/>
          <w:szCs w:val="24"/>
          <w:lang w:eastAsia="ru-RU"/>
        </w:rPr>
        <w:t>Упаковка Изделия должна обеспечивать его защиту от повреждений, порчи (изнашивания), или загрязнения во время хранения и транспортирования к месту использования по назначению (п.4.11 ГОСТ Р 51632-2021 «Технические средства реабилитации людей с ограничениями жизнедеятельности. Общие технические требования и методы испытаний»).</w:t>
      </w:r>
    </w:p>
    <w:p w:rsidR="00447CEF" w:rsidRPr="00A64DEB" w:rsidRDefault="00447CEF" w:rsidP="00447CEF">
      <w:pPr>
        <w:spacing w:after="5" w:line="16" w:lineRule="atLeast"/>
        <w:jc w:val="both"/>
        <w:rPr>
          <w:rFonts w:ascii="Times New Roman" w:eastAsia="Times New Roman" w:hAnsi="Times New Roman" w:cs="Times New Roman"/>
          <w:color w:val="000000"/>
          <w:sz w:val="24"/>
          <w:szCs w:val="24"/>
          <w:lang w:eastAsia="ru-RU"/>
        </w:rPr>
      </w:pPr>
      <w:r w:rsidRPr="00A64DEB">
        <w:rPr>
          <w:rFonts w:ascii="Times New Roman" w:eastAsia="Times New Roman" w:hAnsi="Times New Roman" w:cs="Times New Roman"/>
          <w:color w:val="000000"/>
          <w:sz w:val="24"/>
          <w:szCs w:val="24"/>
          <w:lang w:eastAsia="ru-RU"/>
        </w:rPr>
        <w:t xml:space="preserve">2.4. Гарантийный срок на Изделие составляет: </w:t>
      </w:r>
    </w:p>
    <w:p w:rsidR="00447CEF" w:rsidRPr="00A64DEB" w:rsidRDefault="00447CEF" w:rsidP="00447CEF">
      <w:pPr>
        <w:numPr>
          <w:ilvl w:val="0"/>
          <w:numId w:val="2"/>
        </w:numPr>
        <w:spacing w:after="5" w:line="16" w:lineRule="atLeast"/>
        <w:jc w:val="both"/>
        <w:rPr>
          <w:rFonts w:ascii="Times New Roman" w:eastAsia="Times New Roman" w:hAnsi="Times New Roman" w:cs="Times New Roman"/>
          <w:color w:val="000000"/>
          <w:sz w:val="24"/>
          <w:szCs w:val="24"/>
          <w:lang w:eastAsia="ru-RU"/>
        </w:rPr>
      </w:pPr>
      <w:r w:rsidRPr="00A64DEB">
        <w:rPr>
          <w:rFonts w:ascii="Times New Roman" w:eastAsia="Times New Roman" w:hAnsi="Times New Roman" w:cs="Times New Roman"/>
          <w:color w:val="000000"/>
          <w:sz w:val="24"/>
          <w:szCs w:val="24"/>
          <w:lang w:eastAsia="ru-RU"/>
        </w:rPr>
        <w:t xml:space="preserve">на функциональные части и на </w:t>
      </w:r>
      <w:proofErr w:type="spellStart"/>
      <w:r w:rsidRPr="00A64DEB">
        <w:rPr>
          <w:rFonts w:ascii="Times New Roman" w:eastAsia="Times New Roman" w:hAnsi="Times New Roman" w:cs="Times New Roman"/>
          <w:color w:val="000000"/>
          <w:sz w:val="24"/>
          <w:szCs w:val="24"/>
          <w:lang w:eastAsia="ru-RU"/>
        </w:rPr>
        <w:t>культеприемную</w:t>
      </w:r>
      <w:proofErr w:type="spellEnd"/>
      <w:r w:rsidRPr="00A64DEB">
        <w:rPr>
          <w:rFonts w:ascii="Times New Roman" w:eastAsia="Times New Roman" w:hAnsi="Times New Roman" w:cs="Times New Roman"/>
          <w:color w:val="000000"/>
          <w:sz w:val="24"/>
          <w:szCs w:val="24"/>
          <w:lang w:eastAsia="ru-RU"/>
        </w:rPr>
        <w:t xml:space="preserve"> гильзу индивидуального изготовления не менее 12 (двенадцати) месяцев с даты получения Изделия Получателем.</w:t>
      </w:r>
    </w:p>
    <w:p w:rsidR="00447CEF" w:rsidRPr="00A64DEB" w:rsidRDefault="00447CEF" w:rsidP="00447CEF">
      <w:pPr>
        <w:spacing w:after="5" w:line="16" w:lineRule="atLeast"/>
        <w:jc w:val="both"/>
        <w:rPr>
          <w:rFonts w:ascii="Times New Roman" w:eastAsia="Times New Roman" w:hAnsi="Times New Roman" w:cs="Times New Roman"/>
          <w:color w:val="000000"/>
          <w:sz w:val="24"/>
          <w:szCs w:val="24"/>
          <w:lang w:eastAsia="ru-RU"/>
        </w:rPr>
      </w:pPr>
      <w:r w:rsidRPr="00A64DEB">
        <w:rPr>
          <w:rFonts w:ascii="Times New Roman" w:eastAsia="Times New Roman" w:hAnsi="Times New Roman" w:cs="Times New Roman"/>
          <w:color w:val="000000"/>
          <w:sz w:val="24"/>
          <w:szCs w:val="24"/>
          <w:lang w:eastAsia="ru-RU"/>
        </w:rPr>
        <w:t>3. Исполнитель обязан:</w:t>
      </w:r>
    </w:p>
    <w:p w:rsidR="00447CEF" w:rsidRDefault="00447CEF" w:rsidP="00447CEF">
      <w:pPr>
        <w:spacing w:after="5" w:line="16" w:lineRule="atLeast"/>
        <w:jc w:val="both"/>
        <w:rPr>
          <w:rFonts w:ascii="Times New Roman" w:eastAsia="Times New Roman" w:hAnsi="Times New Roman" w:cs="Times New Roman"/>
          <w:color w:val="000000"/>
          <w:lang w:eastAsia="ru-RU"/>
        </w:rPr>
      </w:pPr>
      <w:r w:rsidRPr="00447CEF">
        <w:rPr>
          <w:rFonts w:ascii="Times New Roman" w:eastAsia="Times New Roman" w:hAnsi="Times New Roman" w:cs="Times New Roman"/>
          <w:color w:val="000000"/>
          <w:lang w:eastAsia="ru-RU"/>
        </w:rPr>
        <w:t>3.1. Выполнять работы по изготовлению Изделий по индивидуальным размерам Получателей, выдачу Изделий, обучение пользованию Изделиями в срок не более 60 (шестидесяти) календарных дней со дня обращения Получателя</w:t>
      </w:r>
      <w:r w:rsidR="00A2661A">
        <w:rPr>
          <w:rFonts w:ascii="Times New Roman" w:eastAsia="Times New Roman" w:hAnsi="Times New Roman" w:cs="Times New Roman"/>
          <w:color w:val="000000"/>
          <w:lang w:eastAsia="ru-RU"/>
        </w:rPr>
        <w:t>.</w:t>
      </w:r>
    </w:p>
    <w:p w:rsidR="000C7C96" w:rsidRPr="000C7C96" w:rsidRDefault="000C7C96" w:rsidP="00447CEF">
      <w:pPr>
        <w:spacing w:after="5" w:line="16" w:lineRule="atLeast"/>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lang w:eastAsia="ru-RU"/>
        </w:rPr>
        <w:t xml:space="preserve">3.2. </w:t>
      </w:r>
      <w:r w:rsidRPr="000C7C96">
        <w:rPr>
          <w:rFonts w:ascii="Times New Roman" w:eastAsia="Times New Roman" w:hAnsi="Times New Roman" w:cs="Times New Roman"/>
          <w:color w:val="000000" w:themeColor="text1"/>
          <w:sz w:val="24"/>
          <w:szCs w:val="24"/>
          <w:lang w:eastAsia="ru-RU"/>
        </w:rPr>
        <w:t xml:space="preserve">Предоставить документы для оплаты за фактически выполненные работы в текущем месяце ежемесячно, не позднее 05 числа месяца, следующего за месяцем выполнения работ, а в </w:t>
      </w:r>
      <w:r w:rsidR="00B55CF8">
        <w:rPr>
          <w:rFonts w:ascii="Times New Roman" w:eastAsia="Times New Roman" w:hAnsi="Times New Roman" w:cs="Times New Roman"/>
          <w:color w:val="000000" w:themeColor="text1"/>
          <w:sz w:val="24"/>
          <w:szCs w:val="24"/>
          <w:lang w:eastAsia="ru-RU"/>
        </w:rPr>
        <w:t>декаб</w:t>
      </w:r>
      <w:r w:rsidRPr="000C7C96">
        <w:rPr>
          <w:rFonts w:ascii="Times New Roman" w:eastAsia="Times New Roman" w:hAnsi="Times New Roman" w:cs="Times New Roman"/>
          <w:color w:val="000000" w:themeColor="text1"/>
          <w:sz w:val="24"/>
          <w:szCs w:val="24"/>
          <w:lang w:eastAsia="ru-RU"/>
        </w:rPr>
        <w:t>ре не позднее 01.1</w:t>
      </w:r>
      <w:r w:rsidR="00214BE3">
        <w:rPr>
          <w:rFonts w:ascii="Times New Roman" w:eastAsia="Times New Roman" w:hAnsi="Times New Roman" w:cs="Times New Roman"/>
          <w:color w:val="000000" w:themeColor="text1"/>
          <w:sz w:val="24"/>
          <w:szCs w:val="24"/>
          <w:lang w:eastAsia="ru-RU"/>
        </w:rPr>
        <w:t>2</w:t>
      </w:r>
      <w:r w:rsidRPr="000C7C96">
        <w:rPr>
          <w:rFonts w:ascii="Times New Roman" w:eastAsia="Times New Roman" w:hAnsi="Times New Roman" w:cs="Times New Roman"/>
          <w:color w:val="000000" w:themeColor="text1"/>
          <w:sz w:val="24"/>
          <w:szCs w:val="24"/>
          <w:lang w:eastAsia="ru-RU"/>
        </w:rPr>
        <w:t>.2025 включительно.</w:t>
      </w:r>
    </w:p>
    <w:p w:rsidR="00447CEF" w:rsidRPr="00447CEF" w:rsidRDefault="00447CEF" w:rsidP="00447CEF">
      <w:pPr>
        <w:spacing w:after="5" w:line="16" w:lineRule="atLeast"/>
        <w:jc w:val="both"/>
        <w:rPr>
          <w:rFonts w:ascii="Times New Roman" w:eastAsia="Times New Roman" w:hAnsi="Times New Roman" w:cs="Times New Roman"/>
          <w:color w:val="000000"/>
          <w:lang w:eastAsia="ru-RU"/>
        </w:rPr>
      </w:pPr>
      <w:r w:rsidRPr="00447CEF">
        <w:rPr>
          <w:rFonts w:ascii="Times New Roman" w:eastAsia="Times New Roman" w:hAnsi="Times New Roman" w:cs="Times New Roman"/>
          <w:color w:val="000000"/>
          <w:lang w:eastAsia="ru-RU"/>
        </w:rPr>
        <w:t>3.</w:t>
      </w:r>
      <w:r w:rsidR="00F73E23">
        <w:rPr>
          <w:rFonts w:ascii="Times New Roman" w:eastAsia="Times New Roman" w:hAnsi="Times New Roman" w:cs="Times New Roman"/>
          <w:color w:val="000000"/>
          <w:lang w:eastAsia="ru-RU"/>
        </w:rPr>
        <w:t>3</w:t>
      </w:r>
      <w:r w:rsidRPr="00447CEF">
        <w:rPr>
          <w:rFonts w:ascii="Times New Roman" w:eastAsia="Times New Roman" w:hAnsi="Times New Roman" w:cs="Times New Roman"/>
          <w:color w:val="000000"/>
          <w:lang w:eastAsia="ru-RU"/>
        </w:rPr>
        <w:t>. В ходе исполнения работ (оказания услуг) по протезированию нижних конечностей обучить Получателей пользованием протезами в соответствии с ГОСТ Р 59542-2021 «Реабилитационные мероприятия. Услуги по обучению пользованию протезом нижней конечности».</w:t>
      </w:r>
    </w:p>
    <w:p w:rsidR="00447CEF" w:rsidRPr="00447CEF" w:rsidRDefault="00447CEF" w:rsidP="00447CEF">
      <w:pPr>
        <w:spacing w:after="5" w:line="16" w:lineRule="atLeast"/>
        <w:jc w:val="both"/>
        <w:rPr>
          <w:rFonts w:ascii="Times New Roman" w:eastAsia="Times New Roman" w:hAnsi="Times New Roman" w:cs="Times New Roman"/>
          <w:color w:val="000000"/>
          <w:lang w:eastAsia="ru-RU"/>
        </w:rPr>
      </w:pPr>
      <w:r w:rsidRPr="00447CEF">
        <w:rPr>
          <w:rFonts w:ascii="Times New Roman" w:eastAsia="Times New Roman" w:hAnsi="Times New Roman" w:cs="Times New Roman"/>
          <w:color w:val="000000"/>
          <w:lang w:eastAsia="ru-RU"/>
        </w:rPr>
        <w:t>В целях подтверждения проведенного обучения Исполнитель обязан составить в соответствии с требованиями пункта 4.6. ГОСТ Р 59542-2021 заключение о проведенном курсе обучения и достигнутом медицинском реабилитационном эффекте в трех экземплярах – один экземпляр передается Получателю, второй экземпляр остается у Исполнителя, третий экземпляр передается Заказчику с актом выполненных работ изделия Получателю.</w:t>
      </w:r>
    </w:p>
    <w:p w:rsidR="00447CEF" w:rsidRPr="00447CEF" w:rsidRDefault="00F73E23" w:rsidP="00F73E23">
      <w:pPr>
        <w:spacing w:after="5" w:line="16" w:lineRule="atLeast"/>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3.4. </w:t>
      </w:r>
      <w:r w:rsidR="00447CEF" w:rsidRPr="00447CEF">
        <w:rPr>
          <w:rFonts w:ascii="Times New Roman" w:eastAsia="Times New Roman" w:hAnsi="Times New Roman" w:cs="Times New Roman"/>
          <w:color w:val="000000"/>
          <w:lang w:eastAsia="ru-RU"/>
        </w:rPr>
        <w:t>Осуществлять прием Получателей или их представителей при представлении ими паспорта и направления (по форме, утвержденной приказом Министерства здравоохранения и социального развития Российской Федерации № 439н от 21.08.2008), выдаваемого Заказчиком.</w:t>
      </w:r>
    </w:p>
    <w:p w:rsidR="00447CEF" w:rsidRPr="00447CEF" w:rsidRDefault="00447CEF" w:rsidP="00B407E6">
      <w:pPr>
        <w:spacing w:after="5" w:line="16" w:lineRule="atLeast"/>
        <w:jc w:val="both"/>
        <w:rPr>
          <w:rFonts w:ascii="Times New Roman" w:eastAsia="Times New Roman" w:hAnsi="Times New Roman" w:cs="Times New Roman"/>
          <w:color w:val="000000"/>
          <w:lang w:eastAsia="ru-RU"/>
        </w:rPr>
      </w:pPr>
      <w:r w:rsidRPr="00447CEF">
        <w:rPr>
          <w:rFonts w:ascii="Times New Roman" w:eastAsia="Times New Roman" w:hAnsi="Times New Roman" w:cs="Times New Roman"/>
          <w:color w:val="000000"/>
          <w:lang w:eastAsia="ru-RU"/>
        </w:rPr>
        <w:t xml:space="preserve">В случае, если от имени Получателя действует его представитель, то предъявляется документ, удостоверяющий личность представителя, и соответствующий документ, подтверждающий полномочия представителя при этом требовать документ (копию документа), удостоверяющего личность Получателя не допускается. </w:t>
      </w:r>
    </w:p>
    <w:p w:rsidR="00447CEF" w:rsidRPr="00447CEF" w:rsidRDefault="00447CEF" w:rsidP="00B407E6">
      <w:pPr>
        <w:spacing w:after="5" w:line="16" w:lineRule="atLeast"/>
        <w:jc w:val="both"/>
        <w:rPr>
          <w:rFonts w:ascii="Times New Roman" w:eastAsia="Times New Roman" w:hAnsi="Times New Roman" w:cs="Times New Roman"/>
          <w:color w:val="000000"/>
          <w:lang w:eastAsia="ru-RU"/>
        </w:rPr>
      </w:pPr>
      <w:r w:rsidRPr="00447CEF">
        <w:rPr>
          <w:rFonts w:ascii="Times New Roman" w:eastAsia="Times New Roman" w:hAnsi="Times New Roman" w:cs="Times New Roman"/>
          <w:color w:val="000000"/>
          <w:lang w:eastAsia="ru-RU"/>
        </w:rPr>
        <w:t>Указанные документы, предоставляемые представителем Получателя, должны быть действительными и не утратившими юридическую силу, в том числе по основаниям, предусмотренным статьей 188 Гражданского кодекса Российской Федерации, на момент передачи Изделий представителю Получателя.</w:t>
      </w:r>
    </w:p>
    <w:p w:rsidR="00447CEF" w:rsidRPr="00447CEF" w:rsidRDefault="00F73E23" w:rsidP="00F73E23">
      <w:pPr>
        <w:spacing w:after="5" w:line="16" w:lineRule="atLeast"/>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3.5. </w:t>
      </w:r>
      <w:r w:rsidR="00447CEF" w:rsidRPr="00447CEF">
        <w:rPr>
          <w:rFonts w:ascii="Times New Roman" w:eastAsia="Times New Roman" w:hAnsi="Times New Roman" w:cs="Times New Roman"/>
          <w:color w:val="000000"/>
          <w:lang w:eastAsia="ru-RU"/>
        </w:rPr>
        <w:t xml:space="preserve">При работе с Получателями обеспечить соблюдение рекомендаций и санитарно-эпидемиологических требований </w:t>
      </w:r>
      <w:proofErr w:type="spellStart"/>
      <w:r w:rsidR="00447CEF" w:rsidRPr="00447CEF">
        <w:rPr>
          <w:rFonts w:ascii="Times New Roman" w:eastAsia="Times New Roman" w:hAnsi="Times New Roman" w:cs="Times New Roman"/>
          <w:color w:val="000000"/>
          <w:lang w:eastAsia="ru-RU"/>
        </w:rPr>
        <w:t>Роспотребнадзора</w:t>
      </w:r>
      <w:proofErr w:type="spellEnd"/>
      <w:r w:rsidR="00447CEF" w:rsidRPr="00447CEF">
        <w:rPr>
          <w:rFonts w:ascii="Times New Roman" w:eastAsia="Times New Roman" w:hAnsi="Times New Roman" w:cs="Times New Roman"/>
          <w:color w:val="000000"/>
          <w:lang w:eastAsia="ru-RU"/>
        </w:rPr>
        <w:t xml:space="preserve"> и исполнительных органов государственной власти Санкт-Петербурга и Ленинградской области при возникновении неблагоприятной санитарно-эпидемиологической обстановки, в том числе в период распространении новой </w:t>
      </w:r>
      <w:proofErr w:type="spellStart"/>
      <w:r w:rsidR="00447CEF" w:rsidRPr="00447CEF">
        <w:rPr>
          <w:rFonts w:ascii="Times New Roman" w:eastAsia="Times New Roman" w:hAnsi="Times New Roman" w:cs="Times New Roman"/>
          <w:color w:val="000000"/>
          <w:lang w:eastAsia="ru-RU"/>
        </w:rPr>
        <w:t>коронавирусной</w:t>
      </w:r>
      <w:proofErr w:type="spellEnd"/>
      <w:r w:rsidR="00447CEF" w:rsidRPr="00447CEF">
        <w:rPr>
          <w:rFonts w:ascii="Times New Roman" w:eastAsia="Times New Roman" w:hAnsi="Times New Roman" w:cs="Times New Roman"/>
          <w:color w:val="000000"/>
          <w:lang w:eastAsia="ru-RU"/>
        </w:rPr>
        <w:t xml:space="preserve"> инфекции (COVID-19).</w:t>
      </w:r>
    </w:p>
    <w:p w:rsidR="00447CEF" w:rsidRPr="00447CEF" w:rsidRDefault="00F73E23" w:rsidP="00F73E23">
      <w:pPr>
        <w:spacing w:after="5" w:line="16" w:lineRule="atLeast"/>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3.6. </w:t>
      </w:r>
      <w:r w:rsidR="00447CEF" w:rsidRPr="00447CEF">
        <w:rPr>
          <w:rFonts w:ascii="Times New Roman" w:eastAsia="Times New Roman" w:hAnsi="Times New Roman" w:cs="Times New Roman"/>
          <w:color w:val="000000"/>
          <w:lang w:eastAsia="ru-RU"/>
        </w:rPr>
        <w:t>Обеспечить возможность изготовления Изделий со дня, следующего за днем передачи Исполнителям реестра Получателей.</w:t>
      </w:r>
    </w:p>
    <w:p w:rsidR="00447CEF" w:rsidRPr="00447CEF" w:rsidRDefault="00F73E23" w:rsidP="00F73E23">
      <w:pPr>
        <w:spacing w:after="5" w:line="16" w:lineRule="atLeast"/>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3.7. </w:t>
      </w:r>
      <w:r w:rsidR="00447CEF" w:rsidRPr="00447CEF">
        <w:rPr>
          <w:rFonts w:ascii="Times New Roman" w:eastAsia="Times New Roman" w:hAnsi="Times New Roman" w:cs="Times New Roman"/>
          <w:color w:val="000000"/>
          <w:lang w:eastAsia="ru-RU"/>
        </w:rPr>
        <w:t>Осуществлять в течение гарантийного срока за счет собственных средств гарантийный ремонт Изделий и (или) гарантийную замену Изделий, преждевременно вышедших из строя не по вине Получателей, и (или) имеющих скрытые недостатки или дефекты (брак).</w:t>
      </w:r>
    </w:p>
    <w:p w:rsidR="00447CEF" w:rsidRPr="00447CEF" w:rsidRDefault="00447CEF" w:rsidP="00447CEF">
      <w:pPr>
        <w:spacing w:after="5" w:line="16" w:lineRule="atLeast"/>
        <w:jc w:val="both"/>
        <w:rPr>
          <w:rFonts w:ascii="Times New Roman" w:eastAsia="Times New Roman" w:hAnsi="Times New Roman" w:cs="Times New Roman"/>
          <w:color w:val="000000"/>
          <w:lang w:eastAsia="ru-RU"/>
        </w:rPr>
      </w:pPr>
      <w:r w:rsidRPr="00447CEF">
        <w:rPr>
          <w:rFonts w:ascii="Times New Roman" w:eastAsia="Times New Roman" w:hAnsi="Times New Roman" w:cs="Times New Roman"/>
          <w:color w:val="000000"/>
          <w:lang w:eastAsia="ru-RU"/>
        </w:rPr>
        <w:t>В случае обнаружения Получателями в течение гарантийного срока Изделий при их должной эксплуатации несоответствия качества Изделий (выявления недостатков и дефектов, связанных с разработкой, материалами или качеством изготовления, в том числе скрытых недостатков и дефектов), Исполнителем должен быть обеспечен гарантийный ремонт (если Изделия подлежат гарантийному ремонту) либо осуществлена замена Изделий на аналогичные Изделия надлежащего качества.</w:t>
      </w:r>
    </w:p>
    <w:p w:rsidR="00447CEF" w:rsidRPr="00447CEF" w:rsidRDefault="00447CEF" w:rsidP="00447CEF">
      <w:pPr>
        <w:spacing w:after="5" w:line="16" w:lineRule="atLeast"/>
        <w:jc w:val="both"/>
        <w:rPr>
          <w:rFonts w:ascii="Times New Roman" w:eastAsia="Times New Roman" w:hAnsi="Times New Roman" w:cs="Times New Roman"/>
          <w:color w:val="000000"/>
          <w:lang w:eastAsia="ru-RU"/>
        </w:rPr>
      </w:pPr>
      <w:r w:rsidRPr="00447CEF">
        <w:rPr>
          <w:rFonts w:ascii="Times New Roman" w:eastAsia="Times New Roman" w:hAnsi="Times New Roman" w:cs="Times New Roman"/>
          <w:color w:val="000000"/>
          <w:lang w:eastAsia="ru-RU"/>
        </w:rPr>
        <w:t>Срок выполнения гарантийного ремонта Изделий не должен превышать 20 рабочих дней со дня обращения Получателя (Заказчика).</w:t>
      </w:r>
    </w:p>
    <w:p w:rsidR="00447CEF" w:rsidRPr="00447CEF" w:rsidRDefault="00447CEF" w:rsidP="00447CEF">
      <w:pPr>
        <w:spacing w:after="5" w:line="16" w:lineRule="atLeast"/>
        <w:jc w:val="both"/>
        <w:rPr>
          <w:rFonts w:ascii="Times New Roman" w:eastAsia="Times New Roman" w:hAnsi="Times New Roman" w:cs="Times New Roman"/>
          <w:color w:val="000000"/>
          <w:lang w:eastAsia="ru-RU"/>
        </w:rPr>
      </w:pPr>
      <w:r w:rsidRPr="00447CEF">
        <w:rPr>
          <w:rFonts w:ascii="Times New Roman" w:eastAsia="Times New Roman" w:hAnsi="Times New Roman" w:cs="Times New Roman"/>
          <w:color w:val="000000"/>
          <w:lang w:eastAsia="ru-RU"/>
        </w:rPr>
        <w:t>Срок осуществления замены Изделий не должен превышать 15 рабочих дней со дня обращения Получателя (Заказчика).</w:t>
      </w:r>
    </w:p>
    <w:p w:rsidR="00447CEF" w:rsidRPr="00447CEF" w:rsidRDefault="00447CEF" w:rsidP="00447CEF">
      <w:pPr>
        <w:spacing w:after="5" w:line="16" w:lineRule="atLeast"/>
        <w:jc w:val="both"/>
        <w:rPr>
          <w:rFonts w:ascii="Times New Roman" w:eastAsia="Times New Roman" w:hAnsi="Times New Roman" w:cs="Times New Roman"/>
          <w:color w:val="000000"/>
          <w:lang w:eastAsia="ru-RU"/>
        </w:rPr>
      </w:pPr>
      <w:r w:rsidRPr="00447CEF">
        <w:rPr>
          <w:rFonts w:ascii="Times New Roman" w:eastAsia="Times New Roman" w:hAnsi="Times New Roman" w:cs="Times New Roman"/>
          <w:color w:val="000000"/>
          <w:lang w:eastAsia="ru-RU"/>
        </w:rPr>
        <w:lastRenderedPageBreak/>
        <w:t xml:space="preserve">Обеспечение возможности ремонта, устранения недостатков Изделий осуществляется в соответствии с Законом Российской Федерации от 07.02.1992 № 2300-1 «О защите прав потребителей». В случае невозможности осуществления ремонта Изделий в период гарантийного срока Исполнитель должен осуществить замену таких Изделий. </w:t>
      </w:r>
    </w:p>
    <w:p w:rsidR="00447CEF" w:rsidRPr="00447CEF" w:rsidRDefault="00447CEF" w:rsidP="00447CEF">
      <w:pPr>
        <w:spacing w:after="5" w:line="16" w:lineRule="atLeast"/>
        <w:jc w:val="both"/>
        <w:rPr>
          <w:rFonts w:ascii="Times New Roman" w:eastAsia="Times New Roman" w:hAnsi="Times New Roman" w:cs="Times New Roman"/>
          <w:color w:val="000000"/>
          <w:lang w:eastAsia="ru-RU"/>
        </w:rPr>
      </w:pPr>
      <w:r w:rsidRPr="00447CEF">
        <w:rPr>
          <w:rFonts w:ascii="Times New Roman" w:eastAsia="Times New Roman" w:hAnsi="Times New Roman" w:cs="Times New Roman"/>
          <w:color w:val="000000"/>
          <w:lang w:eastAsia="ru-RU"/>
        </w:rPr>
        <w:t xml:space="preserve">В связи с тем, что передача Изделий осуществляется непосредственно Получателям, Исполнитель должен вместе с Изделиями передать Получателю гарантийный талон или иной документ, содержащий сведения, необходимые для обращения по вопросам гарантийного ремонта (замены) Изделий, а также содержащий адрес (адреса) и режим работы пункта (пунктов) гарантийного обслуживания. </w:t>
      </w:r>
    </w:p>
    <w:p w:rsidR="00447CEF" w:rsidRPr="00447CEF" w:rsidRDefault="00447CEF" w:rsidP="00447CEF">
      <w:pPr>
        <w:spacing w:after="5" w:line="16" w:lineRule="atLeast"/>
        <w:jc w:val="both"/>
        <w:rPr>
          <w:rFonts w:ascii="Times New Roman" w:eastAsia="Times New Roman" w:hAnsi="Times New Roman" w:cs="Times New Roman"/>
          <w:color w:val="000000"/>
          <w:lang w:eastAsia="ru-RU"/>
        </w:rPr>
      </w:pPr>
      <w:r w:rsidRPr="00447CEF">
        <w:rPr>
          <w:rFonts w:ascii="Times New Roman" w:eastAsia="Times New Roman" w:hAnsi="Times New Roman" w:cs="Times New Roman"/>
          <w:color w:val="000000"/>
          <w:lang w:eastAsia="ru-RU"/>
        </w:rPr>
        <w:t>Исполнитель должен обеспечить возможность приемки Изделий на гарантийный ремонт (если Изделия подлежат гарантийному ремонту) или для их замены по фактическому месту проживания Получателей с последующей доставкой Изделий до Получателей по указанному адресу с подъемом на этаж или по месту нахождения организованных Исполнителем пунктов приема на территории Санкт-Петербурга и Ленинградской области.</w:t>
      </w:r>
    </w:p>
    <w:p w:rsidR="00447CEF" w:rsidRPr="00447CEF" w:rsidRDefault="00F73E23" w:rsidP="00447CEF">
      <w:pPr>
        <w:spacing w:after="5" w:line="16" w:lineRule="atLeast"/>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3.8</w:t>
      </w:r>
      <w:r w:rsidR="00447CEF" w:rsidRPr="00447CEF">
        <w:rPr>
          <w:rFonts w:ascii="Times New Roman" w:eastAsia="Times New Roman" w:hAnsi="Times New Roman" w:cs="Times New Roman"/>
          <w:color w:val="000000"/>
          <w:lang w:eastAsia="ru-RU"/>
        </w:rPr>
        <w:t>. Давать справки Получателям по вопросам, связанным с изготовлением Изделий, а также осуществлять прием заявок на доставку Изделий по месту нахождения Получателей в часы работы пункта (пунктов) приема Получателей. Для звонков Получателей должен быть выделен телефонный номер. Информацию о телефонном номере Исполнитель должен предоставить Заказчику в ближайший рабочий день, следующий за днем заключения государственного контракта, и не позднее 09.01.2025.</w:t>
      </w:r>
    </w:p>
    <w:p w:rsidR="00447CEF" w:rsidRPr="00447CEF" w:rsidRDefault="00447CEF" w:rsidP="00447CEF">
      <w:pPr>
        <w:spacing w:after="5" w:line="16" w:lineRule="atLeast"/>
        <w:jc w:val="both"/>
        <w:rPr>
          <w:rFonts w:ascii="Times New Roman" w:eastAsia="Times New Roman" w:hAnsi="Times New Roman" w:cs="Times New Roman"/>
          <w:color w:val="000000"/>
          <w:lang w:eastAsia="ru-RU"/>
        </w:rPr>
      </w:pPr>
      <w:r w:rsidRPr="00447CEF">
        <w:rPr>
          <w:rFonts w:ascii="Times New Roman" w:eastAsia="Times New Roman" w:hAnsi="Times New Roman" w:cs="Times New Roman"/>
          <w:color w:val="000000"/>
          <w:lang w:eastAsia="ru-RU"/>
        </w:rPr>
        <w:t xml:space="preserve">Звонки с городских номеров Санкт-Петербурга и Ленинградской области должны быть бесплатными для Получателей, а именно: не допускается взимание дополнительной оплаты телефонных переговоров Получателей в виде предоставления для звонков Получателей телефонного номера оператора сотовой связи, либо телефонного номера, не являющегося номером, обслуживаемым оператором сети местной телефонной связи Санкт-Петербурга и Ленинградской области; исключается возможность взимания оплаты за звонки Исполнителем. </w:t>
      </w:r>
    </w:p>
    <w:p w:rsidR="00447CEF" w:rsidRPr="00447CEF" w:rsidRDefault="00F73E23" w:rsidP="00447CEF">
      <w:pPr>
        <w:spacing w:after="5" w:line="16" w:lineRule="atLeast"/>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3.9</w:t>
      </w:r>
      <w:r w:rsidR="00447CEF" w:rsidRPr="00447CEF">
        <w:rPr>
          <w:rFonts w:ascii="Times New Roman" w:eastAsia="Times New Roman" w:hAnsi="Times New Roman" w:cs="Times New Roman"/>
          <w:color w:val="000000"/>
          <w:lang w:eastAsia="ru-RU"/>
        </w:rPr>
        <w:t>. Вести аудиозаписи телефонных разговоров с Получателями по вопросам получения Изделий. По требованию Заказчика Исполнитель обязан предоставлять такие аудиозаписи. Вести журнал телефонных звонков с Получателей Изделий (передается Заказчиком по мере формирования) с пометкой о времени звонка, результате звонка и выборе Получателями способа, места и времени доставки Изделий.</w:t>
      </w:r>
    </w:p>
    <w:p w:rsidR="00447CEF" w:rsidRPr="00447CEF" w:rsidRDefault="00447CEF" w:rsidP="00447CEF">
      <w:pPr>
        <w:spacing w:after="5" w:line="16" w:lineRule="atLeast"/>
        <w:jc w:val="both"/>
        <w:rPr>
          <w:rFonts w:ascii="Times New Roman" w:eastAsia="Times New Roman" w:hAnsi="Times New Roman" w:cs="Times New Roman"/>
          <w:color w:val="000000"/>
          <w:lang w:eastAsia="ru-RU"/>
        </w:rPr>
      </w:pPr>
      <w:r w:rsidRPr="00447CEF">
        <w:rPr>
          <w:rFonts w:ascii="Times New Roman" w:eastAsia="Times New Roman" w:hAnsi="Times New Roman" w:cs="Times New Roman"/>
          <w:color w:val="000000"/>
          <w:lang w:eastAsia="ru-RU"/>
        </w:rPr>
        <w:t>Предоставлять Заказчику в рамках подтверждения исполнения государственного контракта журнал телефонных звонков. Информировать Заказчика о невозможности предоставления Изделий Получателям не позднее дня, следующего за днем доставки, согласованным с Получателями.</w:t>
      </w:r>
    </w:p>
    <w:p w:rsidR="00447CEF" w:rsidRPr="00447CEF" w:rsidRDefault="00F73E23" w:rsidP="00447CEF">
      <w:pPr>
        <w:spacing w:after="5" w:line="16" w:lineRule="atLeast"/>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3.10</w:t>
      </w:r>
      <w:r w:rsidR="00447CEF" w:rsidRPr="00447CEF">
        <w:rPr>
          <w:rFonts w:ascii="Times New Roman" w:eastAsia="Times New Roman" w:hAnsi="Times New Roman" w:cs="Times New Roman"/>
          <w:color w:val="000000"/>
          <w:lang w:eastAsia="ru-RU"/>
        </w:rPr>
        <w:t>. Еженедельно (в последний рабочий день недели), представлять отчет по форме, предоставленной Заказчиком. Отчет предоставляется на бумажном носителе сопроводительным письмом с приложением и в электронном виде по адресу vred@78.sfr.gov.ru.</w:t>
      </w:r>
    </w:p>
    <w:p w:rsidR="00447CEF" w:rsidRPr="00447CEF" w:rsidRDefault="00F73E23" w:rsidP="00447CEF">
      <w:pPr>
        <w:spacing w:after="5" w:line="16" w:lineRule="atLeast"/>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3.11</w:t>
      </w:r>
      <w:r w:rsidR="00447CEF" w:rsidRPr="00447CEF">
        <w:rPr>
          <w:rFonts w:ascii="Times New Roman" w:eastAsia="Times New Roman" w:hAnsi="Times New Roman" w:cs="Times New Roman"/>
          <w:color w:val="000000"/>
          <w:lang w:eastAsia="ru-RU"/>
        </w:rPr>
        <w:t xml:space="preserve">. В случае привлечения к исполнению контракта соисполнителя в ближайший рабочий день, следующий за днем заключения государственного контракта, и не позднее 09.01.2025 предоставить Заказчику данные о соисполнителе: </w:t>
      </w:r>
    </w:p>
    <w:p w:rsidR="00447CEF" w:rsidRPr="00447CEF" w:rsidRDefault="00447CEF" w:rsidP="00B866AB">
      <w:pPr>
        <w:numPr>
          <w:ilvl w:val="0"/>
          <w:numId w:val="6"/>
        </w:numPr>
        <w:spacing w:after="5" w:line="16" w:lineRule="atLeast"/>
        <w:ind w:left="0"/>
        <w:jc w:val="both"/>
        <w:rPr>
          <w:rFonts w:ascii="Times New Roman" w:eastAsia="Times New Roman" w:hAnsi="Times New Roman" w:cs="Times New Roman"/>
          <w:color w:val="000000"/>
          <w:lang w:eastAsia="ru-RU"/>
        </w:rPr>
      </w:pPr>
      <w:r w:rsidRPr="00447CEF">
        <w:rPr>
          <w:rFonts w:ascii="Times New Roman" w:eastAsia="Times New Roman" w:hAnsi="Times New Roman" w:cs="Times New Roman"/>
          <w:color w:val="000000"/>
          <w:lang w:eastAsia="ru-RU"/>
        </w:rPr>
        <w:t>наименование, фирменное наименование (при наличии), место нахождения, почтовый адрес (для юридического лица);</w:t>
      </w:r>
    </w:p>
    <w:p w:rsidR="00447CEF" w:rsidRPr="00447CEF" w:rsidRDefault="00447CEF" w:rsidP="00B866AB">
      <w:pPr>
        <w:numPr>
          <w:ilvl w:val="0"/>
          <w:numId w:val="6"/>
        </w:numPr>
        <w:spacing w:after="5" w:line="16" w:lineRule="atLeast"/>
        <w:ind w:left="0"/>
        <w:jc w:val="both"/>
        <w:rPr>
          <w:rFonts w:ascii="Times New Roman" w:eastAsia="Times New Roman" w:hAnsi="Times New Roman" w:cs="Times New Roman"/>
          <w:color w:val="000000"/>
          <w:lang w:eastAsia="ru-RU"/>
        </w:rPr>
      </w:pPr>
      <w:r w:rsidRPr="00447CEF">
        <w:rPr>
          <w:rFonts w:ascii="Times New Roman" w:eastAsia="Times New Roman" w:hAnsi="Times New Roman" w:cs="Times New Roman"/>
          <w:color w:val="000000"/>
          <w:lang w:eastAsia="ru-RU"/>
        </w:rPr>
        <w:t xml:space="preserve">фамилия, имя, отчество (при наличии), паспортные данные, место жительства </w:t>
      </w:r>
    </w:p>
    <w:p w:rsidR="00447CEF" w:rsidRPr="00447CEF" w:rsidRDefault="00447CEF" w:rsidP="00B866AB">
      <w:pPr>
        <w:spacing w:after="5" w:line="16" w:lineRule="atLeast"/>
        <w:jc w:val="both"/>
        <w:rPr>
          <w:rFonts w:ascii="Times New Roman" w:eastAsia="Times New Roman" w:hAnsi="Times New Roman" w:cs="Times New Roman"/>
          <w:color w:val="000000"/>
          <w:lang w:eastAsia="ru-RU"/>
        </w:rPr>
      </w:pPr>
      <w:r w:rsidRPr="00447CEF">
        <w:rPr>
          <w:rFonts w:ascii="Times New Roman" w:eastAsia="Times New Roman" w:hAnsi="Times New Roman" w:cs="Times New Roman"/>
          <w:color w:val="000000"/>
          <w:lang w:eastAsia="ru-RU"/>
        </w:rPr>
        <w:t>(для физического лица);</w:t>
      </w:r>
    </w:p>
    <w:p w:rsidR="00447CEF" w:rsidRPr="00447CEF" w:rsidRDefault="00447CEF" w:rsidP="00B866AB">
      <w:pPr>
        <w:numPr>
          <w:ilvl w:val="0"/>
          <w:numId w:val="6"/>
        </w:numPr>
        <w:spacing w:after="5" w:line="16" w:lineRule="atLeast"/>
        <w:ind w:left="0"/>
        <w:jc w:val="both"/>
        <w:rPr>
          <w:rFonts w:ascii="Times New Roman" w:eastAsia="Times New Roman" w:hAnsi="Times New Roman" w:cs="Times New Roman"/>
          <w:color w:val="000000"/>
          <w:lang w:eastAsia="ru-RU"/>
        </w:rPr>
      </w:pPr>
      <w:r w:rsidRPr="00447CEF">
        <w:rPr>
          <w:rFonts w:ascii="Times New Roman" w:eastAsia="Times New Roman" w:hAnsi="Times New Roman" w:cs="Times New Roman"/>
          <w:color w:val="000000"/>
          <w:lang w:eastAsia="ru-RU"/>
        </w:rPr>
        <w:t>номер контактного телефона;</w:t>
      </w:r>
    </w:p>
    <w:p w:rsidR="00447CEF" w:rsidRPr="00447CEF" w:rsidRDefault="00447CEF" w:rsidP="00B866AB">
      <w:pPr>
        <w:numPr>
          <w:ilvl w:val="0"/>
          <w:numId w:val="6"/>
        </w:numPr>
        <w:spacing w:after="5" w:line="16" w:lineRule="atLeast"/>
        <w:ind w:left="0"/>
        <w:jc w:val="both"/>
        <w:rPr>
          <w:rFonts w:ascii="Times New Roman" w:eastAsia="Times New Roman" w:hAnsi="Times New Roman" w:cs="Times New Roman"/>
          <w:color w:val="000000"/>
          <w:lang w:eastAsia="ru-RU"/>
        </w:rPr>
      </w:pPr>
      <w:r w:rsidRPr="00447CEF">
        <w:rPr>
          <w:rFonts w:ascii="Times New Roman" w:eastAsia="Times New Roman" w:hAnsi="Times New Roman" w:cs="Times New Roman"/>
          <w:color w:val="000000"/>
          <w:lang w:eastAsia="ru-RU"/>
        </w:rPr>
        <w:t>адрес электронной почты;</w:t>
      </w:r>
    </w:p>
    <w:p w:rsidR="00447CEF" w:rsidRPr="00447CEF" w:rsidRDefault="00447CEF" w:rsidP="00B866AB">
      <w:pPr>
        <w:numPr>
          <w:ilvl w:val="0"/>
          <w:numId w:val="6"/>
        </w:numPr>
        <w:spacing w:after="5" w:line="16" w:lineRule="atLeast"/>
        <w:ind w:left="0"/>
        <w:jc w:val="both"/>
        <w:rPr>
          <w:rFonts w:ascii="Times New Roman" w:eastAsia="Times New Roman" w:hAnsi="Times New Roman" w:cs="Times New Roman"/>
          <w:color w:val="000000"/>
          <w:lang w:eastAsia="ru-RU"/>
        </w:rPr>
      </w:pPr>
      <w:r w:rsidRPr="00447CEF">
        <w:rPr>
          <w:rFonts w:ascii="Times New Roman" w:eastAsia="Times New Roman" w:hAnsi="Times New Roman" w:cs="Times New Roman"/>
          <w:color w:val="000000"/>
          <w:lang w:eastAsia="ru-RU"/>
        </w:rPr>
        <w:t>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447CEF" w:rsidRPr="00447CEF" w:rsidRDefault="00447CEF" w:rsidP="00B866AB">
      <w:pPr>
        <w:numPr>
          <w:ilvl w:val="0"/>
          <w:numId w:val="6"/>
        </w:numPr>
        <w:spacing w:after="5" w:line="16" w:lineRule="atLeast"/>
        <w:ind w:left="0"/>
        <w:jc w:val="both"/>
        <w:rPr>
          <w:rFonts w:ascii="Times New Roman" w:eastAsia="Times New Roman" w:hAnsi="Times New Roman" w:cs="Times New Roman"/>
          <w:color w:val="000000"/>
          <w:lang w:eastAsia="ru-RU"/>
        </w:rPr>
      </w:pPr>
      <w:r w:rsidRPr="00447CEF">
        <w:rPr>
          <w:rFonts w:ascii="Times New Roman" w:eastAsia="Times New Roman" w:hAnsi="Times New Roman" w:cs="Times New Roman"/>
          <w:color w:val="000000"/>
          <w:lang w:eastAsia="ru-RU"/>
        </w:rPr>
        <w:t>перечень операций, выполняемых соисполнителем в рамках государственного контракта;</w:t>
      </w:r>
    </w:p>
    <w:p w:rsidR="00447CEF" w:rsidRPr="00447CEF" w:rsidRDefault="00447CEF" w:rsidP="00B866AB">
      <w:pPr>
        <w:numPr>
          <w:ilvl w:val="0"/>
          <w:numId w:val="6"/>
        </w:numPr>
        <w:spacing w:after="5" w:line="16" w:lineRule="atLeast"/>
        <w:ind w:left="0"/>
        <w:jc w:val="both"/>
        <w:rPr>
          <w:rFonts w:ascii="Times New Roman" w:eastAsia="Times New Roman" w:hAnsi="Times New Roman" w:cs="Times New Roman"/>
          <w:color w:val="000000"/>
          <w:lang w:eastAsia="ru-RU"/>
        </w:rPr>
      </w:pPr>
      <w:r w:rsidRPr="00447CEF">
        <w:rPr>
          <w:rFonts w:ascii="Times New Roman" w:eastAsia="Times New Roman" w:hAnsi="Times New Roman" w:cs="Times New Roman"/>
          <w:color w:val="000000"/>
          <w:lang w:eastAsia="ru-RU"/>
        </w:rPr>
        <w:t xml:space="preserve">срок </w:t>
      </w:r>
      <w:proofErr w:type="spellStart"/>
      <w:r w:rsidRPr="00447CEF">
        <w:rPr>
          <w:rFonts w:ascii="Times New Roman" w:eastAsia="Times New Roman" w:hAnsi="Times New Roman" w:cs="Times New Roman"/>
          <w:color w:val="000000"/>
          <w:lang w:eastAsia="ru-RU"/>
        </w:rPr>
        <w:t>соисполнительства</w:t>
      </w:r>
      <w:proofErr w:type="spellEnd"/>
      <w:r w:rsidRPr="00447CEF">
        <w:rPr>
          <w:rFonts w:ascii="Times New Roman" w:eastAsia="Times New Roman" w:hAnsi="Times New Roman" w:cs="Times New Roman"/>
          <w:color w:val="000000"/>
          <w:lang w:eastAsia="ru-RU"/>
        </w:rPr>
        <w:t>.</w:t>
      </w:r>
    </w:p>
    <w:p w:rsidR="00447CEF" w:rsidRPr="00447CEF" w:rsidRDefault="00447CEF" w:rsidP="00447CEF">
      <w:pPr>
        <w:spacing w:after="5" w:line="16" w:lineRule="atLeast"/>
        <w:jc w:val="both"/>
        <w:rPr>
          <w:rFonts w:ascii="Times New Roman" w:eastAsia="Times New Roman" w:hAnsi="Times New Roman" w:cs="Times New Roman"/>
          <w:color w:val="000000"/>
          <w:lang w:eastAsia="ru-RU"/>
        </w:rPr>
      </w:pPr>
      <w:r w:rsidRPr="00447CEF">
        <w:rPr>
          <w:rFonts w:ascii="Times New Roman" w:eastAsia="Times New Roman" w:hAnsi="Times New Roman" w:cs="Times New Roman"/>
          <w:color w:val="000000"/>
          <w:lang w:eastAsia="ru-RU"/>
        </w:rPr>
        <w:t>В случае привлечения соисполнителя во время исполнения государственного контракта предоставить вышеперечисленные сведения в срок не позднее 1 (одного) рабочего дня с даты заключения договора между Исполнителем и соисполнителем, и не позднее 09.01.2025.</w:t>
      </w:r>
    </w:p>
    <w:p w:rsidR="00447CEF" w:rsidRPr="00447CEF" w:rsidRDefault="00447CEF" w:rsidP="00447CEF">
      <w:pPr>
        <w:spacing w:after="5" w:line="16" w:lineRule="atLeast"/>
        <w:jc w:val="both"/>
        <w:rPr>
          <w:rFonts w:ascii="Times New Roman" w:eastAsia="Times New Roman" w:hAnsi="Times New Roman" w:cs="Times New Roman"/>
          <w:color w:val="000000"/>
          <w:lang w:eastAsia="ru-RU"/>
        </w:rPr>
      </w:pPr>
      <w:r w:rsidRPr="00447CEF">
        <w:rPr>
          <w:rFonts w:ascii="Times New Roman" w:eastAsia="Times New Roman" w:hAnsi="Times New Roman" w:cs="Times New Roman"/>
          <w:color w:val="000000"/>
          <w:lang w:eastAsia="ru-RU"/>
        </w:rPr>
        <w:t>При досрочном расторжении договора между Исполнителем и соисполнителем уведомить об этом Заказчика в срок не позднее 1 (одного) рабочего дня с даты расторжения такого договора.</w:t>
      </w:r>
    </w:p>
    <w:p w:rsidR="00447CEF" w:rsidRPr="00447CEF" w:rsidRDefault="00447CEF" w:rsidP="00447CEF">
      <w:pPr>
        <w:spacing w:after="5" w:line="16" w:lineRule="atLeast"/>
        <w:jc w:val="both"/>
        <w:rPr>
          <w:rFonts w:ascii="Times New Roman" w:eastAsia="Times New Roman" w:hAnsi="Times New Roman" w:cs="Times New Roman"/>
          <w:color w:val="000000"/>
          <w:lang w:eastAsia="ru-RU"/>
        </w:rPr>
      </w:pPr>
      <w:r w:rsidRPr="00447CEF">
        <w:rPr>
          <w:rFonts w:ascii="Times New Roman" w:eastAsia="Times New Roman" w:hAnsi="Times New Roman" w:cs="Times New Roman"/>
          <w:color w:val="000000"/>
          <w:lang w:eastAsia="ru-RU"/>
        </w:rPr>
        <w:t>Информация предоставляется сопроводительным письмом с приложением подтверждающих документов на бумажном носителе и в электронном виде по адресу</w:t>
      </w:r>
      <w:r w:rsidRPr="00447CEF">
        <w:rPr>
          <w:rFonts w:ascii="Times New Roman" w:eastAsia="Times New Roman" w:hAnsi="Times New Roman" w:cs="Times New Roman"/>
          <w:color w:val="000000"/>
          <w:u w:val="single" w:color="000000"/>
          <w:lang w:eastAsia="ru-RU"/>
        </w:rPr>
        <w:t xml:space="preserve"> vred@78.sfr.gov.ru</w:t>
      </w:r>
      <w:r w:rsidRPr="00447CEF">
        <w:rPr>
          <w:rFonts w:ascii="Times New Roman" w:eastAsia="Times New Roman" w:hAnsi="Times New Roman" w:cs="Times New Roman"/>
          <w:color w:val="000000"/>
          <w:lang w:eastAsia="ru-RU"/>
        </w:rPr>
        <w:t xml:space="preserve">. </w:t>
      </w:r>
    </w:p>
    <w:p w:rsidR="00447CEF" w:rsidRPr="00447CEF" w:rsidRDefault="00447CEF" w:rsidP="00B866AB">
      <w:pPr>
        <w:numPr>
          <w:ilvl w:val="0"/>
          <w:numId w:val="7"/>
        </w:numPr>
        <w:spacing w:after="5" w:line="16" w:lineRule="atLeast"/>
        <w:ind w:left="0"/>
        <w:jc w:val="both"/>
        <w:rPr>
          <w:rFonts w:ascii="Times New Roman" w:eastAsia="Times New Roman" w:hAnsi="Times New Roman" w:cs="Times New Roman"/>
          <w:color w:val="000000"/>
          <w:lang w:eastAsia="ru-RU"/>
        </w:rPr>
      </w:pPr>
      <w:r w:rsidRPr="00447CEF">
        <w:rPr>
          <w:rFonts w:ascii="Times New Roman" w:eastAsia="Times New Roman" w:hAnsi="Times New Roman" w:cs="Times New Roman"/>
          <w:color w:val="000000"/>
          <w:lang w:eastAsia="ru-RU"/>
        </w:rPr>
        <w:t>Способ выдачи Изделий:</w:t>
      </w:r>
    </w:p>
    <w:p w:rsidR="00447CEF" w:rsidRPr="00447CEF" w:rsidRDefault="00447CEF" w:rsidP="00447CEF">
      <w:pPr>
        <w:spacing w:after="5" w:line="16" w:lineRule="atLeast"/>
        <w:jc w:val="both"/>
        <w:rPr>
          <w:rFonts w:ascii="Times New Roman" w:eastAsia="Times New Roman" w:hAnsi="Times New Roman" w:cs="Times New Roman"/>
          <w:color w:val="000000"/>
          <w:lang w:eastAsia="ru-RU"/>
        </w:rPr>
      </w:pPr>
      <w:r w:rsidRPr="00447CEF">
        <w:rPr>
          <w:rFonts w:ascii="Times New Roman" w:eastAsia="Times New Roman" w:hAnsi="Times New Roman" w:cs="Times New Roman"/>
          <w:color w:val="000000"/>
          <w:lang w:eastAsia="ru-RU"/>
        </w:rPr>
        <w:t>4.1. Предоставлять Получателям право выбора способа получения Изделий:</w:t>
      </w:r>
    </w:p>
    <w:p w:rsidR="00447CEF" w:rsidRPr="00447CEF" w:rsidRDefault="00447CEF" w:rsidP="00447CEF">
      <w:pPr>
        <w:spacing w:after="5" w:line="16" w:lineRule="atLeast"/>
        <w:jc w:val="both"/>
        <w:rPr>
          <w:rFonts w:ascii="Times New Roman" w:eastAsia="Times New Roman" w:hAnsi="Times New Roman" w:cs="Times New Roman"/>
          <w:color w:val="000000"/>
          <w:lang w:eastAsia="ru-RU"/>
        </w:rPr>
      </w:pPr>
      <w:r w:rsidRPr="00447CEF">
        <w:rPr>
          <w:rFonts w:ascii="Times New Roman" w:eastAsia="Times New Roman" w:hAnsi="Times New Roman" w:cs="Times New Roman"/>
          <w:color w:val="000000"/>
          <w:lang w:eastAsia="ru-RU"/>
        </w:rPr>
        <w:lastRenderedPageBreak/>
        <w:t>-</w:t>
      </w:r>
      <w:r w:rsidRPr="00447CEF">
        <w:rPr>
          <w:rFonts w:ascii="Times New Roman" w:eastAsia="Times New Roman" w:hAnsi="Times New Roman" w:cs="Times New Roman"/>
          <w:color w:val="000000"/>
          <w:lang w:eastAsia="ru-RU"/>
        </w:rPr>
        <w:tab/>
        <w:t>по месту жительства (месту пребывания, фактического проживания) Получателей;</w:t>
      </w:r>
    </w:p>
    <w:p w:rsidR="00447CEF" w:rsidRPr="00447CEF" w:rsidRDefault="00447CEF" w:rsidP="00447CEF">
      <w:pPr>
        <w:spacing w:after="5" w:line="16" w:lineRule="atLeast"/>
        <w:jc w:val="both"/>
        <w:rPr>
          <w:rFonts w:ascii="Times New Roman" w:eastAsia="Times New Roman" w:hAnsi="Times New Roman" w:cs="Times New Roman"/>
          <w:color w:val="000000"/>
          <w:lang w:eastAsia="ru-RU"/>
        </w:rPr>
      </w:pPr>
      <w:r w:rsidRPr="00447CEF">
        <w:rPr>
          <w:rFonts w:ascii="Times New Roman" w:eastAsia="Times New Roman" w:hAnsi="Times New Roman" w:cs="Times New Roman"/>
          <w:color w:val="000000"/>
          <w:lang w:eastAsia="ru-RU"/>
        </w:rPr>
        <w:t>-</w:t>
      </w:r>
      <w:r w:rsidRPr="00447CEF">
        <w:rPr>
          <w:rFonts w:ascii="Times New Roman" w:eastAsia="Times New Roman" w:hAnsi="Times New Roman" w:cs="Times New Roman"/>
          <w:color w:val="000000"/>
          <w:lang w:eastAsia="ru-RU"/>
        </w:rPr>
        <w:tab/>
        <w:t>в пункте (пунктах) приема Получателей, организованных Исполнителем.</w:t>
      </w:r>
    </w:p>
    <w:p w:rsidR="00447CEF" w:rsidRPr="00447CEF" w:rsidRDefault="00447CEF" w:rsidP="00447CEF">
      <w:pPr>
        <w:spacing w:after="5" w:line="16" w:lineRule="atLeast"/>
        <w:jc w:val="both"/>
        <w:rPr>
          <w:rFonts w:ascii="Times New Roman" w:eastAsia="Times New Roman" w:hAnsi="Times New Roman" w:cs="Times New Roman"/>
          <w:color w:val="000000"/>
          <w:lang w:eastAsia="ru-RU"/>
        </w:rPr>
      </w:pPr>
      <w:r w:rsidRPr="00447CEF">
        <w:rPr>
          <w:rFonts w:ascii="Times New Roman" w:eastAsia="Times New Roman" w:hAnsi="Times New Roman" w:cs="Times New Roman"/>
          <w:color w:val="000000"/>
          <w:lang w:eastAsia="ru-RU"/>
        </w:rPr>
        <w:t>Доставка Изделий по месту жительства (месту пребывания, фактического проживания) Получателей, в том числе службой доставки (почтовым отправлением) осуществляется за счет собственных средств Исполнителя.</w:t>
      </w:r>
    </w:p>
    <w:p w:rsidR="00447CEF" w:rsidRPr="00447CEF" w:rsidRDefault="00447CEF" w:rsidP="00447CEF">
      <w:pPr>
        <w:spacing w:after="5" w:line="16" w:lineRule="atLeast"/>
        <w:jc w:val="both"/>
        <w:rPr>
          <w:rFonts w:ascii="Times New Roman" w:eastAsia="Times New Roman" w:hAnsi="Times New Roman" w:cs="Times New Roman"/>
          <w:color w:val="000000"/>
          <w:lang w:eastAsia="ru-RU"/>
        </w:rPr>
      </w:pPr>
      <w:r w:rsidRPr="00447CEF">
        <w:rPr>
          <w:rFonts w:ascii="Times New Roman" w:eastAsia="Times New Roman" w:hAnsi="Times New Roman" w:cs="Times New Roman"/>
          <w:color w:val="000000"/>
          <w:lang w:eastAsia="ru-RU"/>
        </w:rPr>
        <w:t xml:space="preserve">4.2. В целях реализации возможности заказа Изделий Получателями через пункт (пункты) приема Получателей и недопущения длительного ожидания в очереди Исполнитель должен организовать не менее 1 (одного) пункта приема Получателей в ближайший рабочий день, следующий за днем заключения государственного контракта, и не позднее 09.01.2025, в г. Санкт-Петербург. </w:t>
      </w:r>
    </w:p>
    <w:p w:rsidR="00447CEF" w:rsidRPr="00447CEF" w:rsidRDefault="00447CEF" w:rsidP="00447CEF">
      <w:pPr>
        <w:spacing w:after="5" w:line="16" w:lineRule="atLeast"/>
        <w:jc w:val="both"/>
        <w:rPr>
          <w:rFonts w:ascii="Times New Roman" w:eastAsia="Times New Roman" w:hAnsi="Times New Roman" w:cs="Times New Roman"/>
          <w:color w:val="000000"/>
          <w:lang w:eastAsia="ru-RU"/>
        </w:rPr>
      </w:pPr>
      <w:r w:rsidRPr="00447CEF">
        <w:rPr>
          <w:rFonts w:ascii="Times New Roman" w:eastAsia="Times New Roman" w:hAnsi="Times New Roman" w:cs="Times New Roman"/>
          <w:color w:val="000000"/>
          <w:lang w:eastAsia="ru-RU"/>
        </w:rPr>
        <w:t xml:space="preserve">Пункт (пункты) должны действовать до конца выполнения работ, согласно условиям Технического задания. Исполнитель вправе организовать дополнительные Пункты приема Получателей в Ленинградской области. Пункты приема Получателей должны быть организованы в различных районах Санкт-Петербурга и Ленинградской области. </w:t>
      </w:r>
    </w:p>
    <w:p w:rsidR="00447CEF" w:rsidRPr="00447CEF" w:rsidRDefault="00447CEF" w:rsidP="00447CEF">
      <w:pPr>
        <w:spacing w:after="5" w:line="16" w:lineRule="atLeast"/>
        <w:jc w:val="both"/>
        <w:rPr>
          <w:rFonts w:ascii="Times New Roman" w:eastAsia="Times New Roman" w:hAnsi="Times New Roman" w:cs="Times New Roman"/>
          <w:color w:val="000000"/>
          <w:lang w:eastAsia="ru-RU"/>
        </w:rPr>
      </w:pPr>
      <w:r w:rsidRPr="00447CEF">
        <w:rPr>
          <w:rFonts w:ascii="Times New Roman" w:eastAsia="Times New Roman" w:hAnsi="Times New Roman" w:cs="Times New Roman"/>
          <w:color w:val="000000"/>
          <w:lang w:eastAsia="ru-RU"/>
        </w:rPr>
        <w:t>В случае организации только одного пункта приема Получателей на территории Санкт-Петербург, он должен быть расположен в пешей доступности от станции метрополитена (под пешей доступностью, в силу п. 11.24. СП 42.13330.2016 «Градостроительство. Планировка и застройка городских и сельских поселений. Актуализированная редакция СНиП 2.07.01-89», принимается расстояние в 500 метров).</w:t>
      </w:r>
    </w:p>
    <w:p w:rsidR="00447CEF" w:rsidRPr="00447CEF" w:rsidRDefault="00447CEF" w:rsidP="00447CEF">
      <w:pPr>
        <w:spacing w:after="5" w:line="16" w:lineRule="atLeast"/>
        <w:jc w:val="both"/>
        <w:rPr>
          <w:rFonts w:ascii="Times New Roman" w:eastAsia="Times New Roman" w:hAnsi="Times New Roman" w:cs="Times New Roman"/>
          <w:color w:val="000000"/>
          <w:lang w:eastAsia="ru-RU"/>
        </w:rPr>
      </w:pPr>
      <w:r w:rsidRPr="00447CEF">
        <w:rPr>
          <w:rFonts w:ascii="Times New Roman" w:eastAsia="Times New Roman" w:hAnsi="Times New Roman" w:cs="Times New Roman"/>
          <w:color w:val="000000"/>
          <w:lang w:eastAsia="ru-RU"/>
        </w:rPr>
        <w:t>В случае организации нескольких пунктов приема Получателей на территории Санкт-Петербурга, один из пунктов обязательно должен быть расположен в пешей доступности от станции метрополитена (под пешей доступностью, в силу п. 11.24. СП 42.13330.2016 «Градостроительство. Планировка и застройка городских и сельских поселений. Актуализированная редакция СНиП 2.07.01-89», принимается расстояние в 500 метров).</w:t>
      </w:r>
    </w:p>
    <w:p w:rsidR="00447CEF" w:rsidRPr="00447CEF" w:rsidRDefault="00447CEF" w:rsidP="00447CEF">
      <w:pPr>
        <w:spacing w:after="5" w:line="16" w:lineRule="atLeast"/>
        <w:jc w:val="both"/>
        <w:rPr>
          <w:rFonts w:ascii="Times New Roman" w:eastAsia="Times New Roman" w:hAnsi="Times New Roman" w:cs="Times New Roman"/>
          <w:color w:val="000000"/>
          <w:lang w:eastAsia="ru-RU"/>
        </w:rPr>
      </w:pPr>
      <w:r w:rsidRPr="00447CEF">
        <w:rPr>
          <w:rFonts w:ascii="Times New Roman" w:eastAsia="Times New Roman" w:hAnsi="Times New Roman" w:cs="Times New Roman"/>
          <w:color w:val="000000"/>
          <w:lang w:eastAsia="ru-RU"/>
        </w:rPr>
        <w:t>В связи с отсутствием указания на конкретный вид транспорта в п. 11.24 СП 42.13330.2016 для однозначного толкования всеми участниками закупки Заказчик определил термин «остановка общественного транспорта» станцию метрополитена. Метрополитен является наиболее удобным и разветвленным видом транспорта в городе Санкт-Петербург, обеспечивающим безопасную и комфортную перевозку пассажиров всех категорий, в том числе отвечающую требованиям по обеспечению доступа инвалидов и иных маломобильных граждан.</w:t>
      </w:r>
    </w:p>
    <w:p w:rsidR="00447CEF" w:rsidRPr="00447CEF" w:rsidRDefault="00447CEF" w:rsidP="00447CEF">
      <w:pPr>
        <w:spacing w:after="5" w:line="16" w:lineRule="atLeast"/>
        <w:jc w:val="both"/>
        <w:rPr>
          <w:rFonts w:ascii="Times New Roman" w:eastAsia="Times New Roman" w:hAnsi="Times New Roman" w:cs="Times New Roman"/>
          <w:color w:val="000000"/>
          <w:lang w:eastAsia="ru-RU"/>
        </w:rPr>
      </w:pPr>
      <w:r w:rsidRPr="00447CEF">
        <w:rPr>
          <w:rFonts w:ascii="Times New Roman" w:eastAsia="Times New Roman" w:hAnsi="Times New Roman" w:cs="Times New Roman"/>
          <w:color w:val="000000"/>
          <w:lang w:eastAsia="ru-RU"/>
        </w:rPr>
        <w:t>В соответствии с частью 2 статьи 12 Федерального закона от 30.12.2009 №384-ФЗ «Технический регламент о безопасности зданий и сооружений» объекты транспортной инфраструктуры должны быть оборудованы специальными приспособлениями, позволяющими инвалидам и другим группам населения с ограниченными возможностями передвижения беспрепятственно пользоваться услугами, предоставляемыми на объектах транспортной инфраструктуры.</w:t>
      </w:r>
    </w:p>
    <w:p w:rsidR="00447CEF" w:rsidRPr="00447CEF" w:rsidRDefault="00447CEF" w:rsidP="00447CEF">
      <w:pPr>
        <w:spacing w:after="5" w:line="16" w:lineRule="atLeast"/>
        <w:jc w:val="both"/>
        <w:rPr>
          <w:rFonts w:ascii="Times New Roman" w:eastAsia="Times New Roman" w:hAnsi="Times New Roman" w:cs="Times New Roman"/>
          <w:color w:val="000000"/>
          <w:lang w:eastAsia="ru-RU"/>
        </w:rPr>
      </w:pPr>
      <w:r w:rsidRPr="00447CEF">
        <w:rPr>
          <w:rFonts w:ascii="Times New Roman" w:eastAsia="Times New Roman" w:hAnsi="Times New Roman" w:cs="Times New Roman"/>
          <w:color w:val="000000"/>
          <w:lang w:eastAsia="ru-RU"/>
        </w:rPr>
        <w:t>В городе Санкт-Петербург таким объектом транспортной инфраструктуры, отвечающим установленным требованиям, является метрополитен.</w:t>
      </w:r>
    </w:p>
    <w:p w:rsidR="00447CEF" w:rsidRPr="00447CEF" w:rsidRDefault="00447CEF" w:rsidP="00447CEF">
      <w:pPr>
        <w:spacing w:after="5" w:line="16" w:lineRule="atLeast"/>
        <w:jc w:val="both"/>
        <w:rPr>
          <w:rFonts w:ascii="Times New Roman" w:eastAsia="Times New Roman" w:hAnsi="Times New Roman" w:cs="Times New Roman"/>
          <w:color w:val="000000"/>
          <w:lang w:eastAsia="ru-RU"/>
        </w:rPr>
      </w:pPr>
      <w:r w:rsidRPr="00447CEF">
        <w:rPr>
          <w:rFonts w:ascii="Times New Roman" w:eastAsia="Times New Roman" w:hAnsi="Times New Roman" w:cs="Times New Roman"/>
          <w:color w:val="000000"/>
          <w:lang w:eastAsia="ru-RU"/>
        </w:rPr>
        <w:t>Пункты приема Получателей, организованные на территории Ленинградской области, должны находиться на территории административных центров муниципальных районов, административного центра городского округа, в пешей доступности от остановок общественного транспорта (под пешей доступностью, в силу п. 11.24. СП 42.13330.2016 «Градостроительство. Планировка и застройка городских и сельских поселений. Актуализированная редакция СНиП 2.07.01-89», принимается расстояние в 500 метров).</w:t>
      </w:r>
    </w:p>
    <w:p w:rsidR="00447CEF" w:rsidRPr="00447CEF" w:rsidRDefault="00447CEF" w:rsidP="00447CEF">
      <w:pPr>
        <w:spacing w:after="5" w:line="16" w:lineRule="atLeast"/>
        <w:jc w:val="both"/>
        <w:rPr>
          <w:rFonts w:ascii="Times New Roman" w:eastAsia="Times New Roman" w:hAnsi="Times New Roman" w:cs="Times New Roman"/>
          <w:color w:val="000000"/>
          <w:lang w:eastAsia="ru-RU"/>
        </w:rPr>
      </w:pPr>
      <w:r w:rsidRPr="00447CEF">
        <w:rPr>
          <w:rFonts w:ascii="Times New Roman" w:eastAsia="Times New Roman" w:hAnsi="Times New Roman" w:cs="Times New Roman"/>
          <w:color w:val="000000"/>
          <w:lang w:eastAsia="ru-RU"/>
        </w:rPr>
        <w:t xml:space="preserve">Требования к организации пунктов приема Получателей установлены в техническом задании исходя из необходимости обеспечить доступные транспортные условия для инвалидов из любой части города Санкт-Петербурга. </w:t>
      </w:r>
    </w:p>
    <w:p w:rsidR="00447CEF" w:rsidRPr="00447CEF" w:rsidRDefault="00447CEF" w:rsidP="00447CEF">
      <w:pPr>
        <w:spacing w:after="5" w:line="16" w:lineRule="atLeast"/>
        <w:jc w:val="both"/>
        <w:rPr>
          <w:rFonts w:ascii="Times New Roman" w:eastAsia="Times New Roman" w:hAnsi="Times New Roman" w:cs="Times New Roman"/>
          <w:color w:val="000000"/>
          <w:lang w:eastAsia="ru-RU"/>
        </w:rPr>
      </w:pPr>
      <w:r w:rsidRPr="00447CEF">
        <w:rPr>
          <w:rFonts w:ascii="Times New Roman" w:eastAsia="Times New Roman" w:hAnsi="Times New Roman" w:cs="Times New Roman"/>
          <w:color w:val="000000"/>
          <w:lang w:eastAsia="ru-RU"/>
        </w:rPr>
        <w:t>В ближайший рабочий день, следующий за днем заключения государственного контракта, и не позднее 09.01.2025 Исполнитель должен предоставить Заказчику информацию об адресе пункта (пунктов) приема Получателей, графике работы пункта (пунктов) приема Получателей, контактном телефоне.</w:t>
      </w:r>
    </w:p>
    <w:p w:rsidR="00447CEF" w:rsidRPr="00447CEF" w:rsidRDefault="00447CEF" w:rsidP="00447CEF">
      <w:pPr>
        <w:spacing w:after="5" w:line="16" w:lineRule="atLeast"/>
        <w:jc w:val="both"/>
        <w:rPr>
          <w:rFonts w:ascii="Times New Roman" w:eastAsia="Times New Roman" w:hAnsi="Times New Roman" w:cs="Times New Roman"/>
          <w:color w:val="000000"/>
          <w:lang w:eastAsia="ru-RU"/>
        </w:rPr>
      </w:pPr>
      <w:r w:rsidRPr="00447CEF">
        <w:rPr>
          <w:rFonts w:ascii="Times New Roman" w:eastAsia="Times New Roman" w:hAnsi="Times New Roman" w:cs="Times New Roman"/>
          <w:color w:val="000000"/>
          <w:lang w:eastAsia="ru-RU"/>
        </w:rPr>
        <w:t>Не позднее 1 (одного) дня с даты заключения государственного контракта, и не позднее 09.01.2025 Исполнитель передает Заказчику копии документов, подтверждающих право Исполнителя использовать помещения пункта (пунктов) приема Получателей, заверенные Исполнителем надлежащим образом. Документы должны быть предоставлены на бумажном носителе сопроводительным письмом с приложением.</w:t>
      </w:r>
    </w:p>
    <w:p w:rsidR="00447CEF" w:rsidRPr="00447CEF" w:rsidRDefault="00447CEF" w:rsidP="00447CEF">
      <w:pPr>
        <w:spacing w:after="5" w:line="16" w:lineRule="atLeast"/>
        <w:jc w:val="both"/>
        <w:rPr>
          <w:rFonts w:ascii="Times New Roman" w:eastAsia="Times New Roman" w:hAnsi="Times New Roman" w:cs="Times New Roman"/>
          <w:color w:val="000000"/>
          <w:lang w:eastAsia="ru-RU"/>
        </w:rPr>
      </w:pPr>
      <w:r w:rsidRPr="00447CEF">
        <w:rPr>
          <w:rFonts w:ascii="Times New Roman" w:eastAsia="Times New Roman" w:hAnsi="Times New Roman" w:cs="Times New Roman"/>
          <w:color w:val="000000"/>
          <w:lang w:eastAsia="ru-RU"/>
        </w:rPr>
        <w:t>4.3. Исполнитель обязан предоставить доступное для людей с инвалидностью помещение под размещение пункта (пунктов) приема Получателей в соответствии со статьей 15 Федерального закона от 24.11.1995 № 181 «О социальной защите инвалидов в Российской Федерации.</w:t>
      </w:r>
    </w:p>
    <w:p w:rsidR="00447CEF" w:rsidRPr="00447CEF" w:rsidRDefault="00447CEF" w:rsidP="00447CEF">
      <w:pPr>
        <w:spacing w:after="5" w:line="16" w:lineRule="atLeast"/>
        <w:jc w:val="both"/>
        <w:rPr>
          <w:rFonts w:ascii="Times New Roman" w:eastAsia="Times New Roman" w:hAnsi="Times New Roman" w:cs="Times New Roman"/>
          <w:color w:val="000000"/>
          <w:lang w:eastAsia="ru-RU"/>
        </w:rPr>
      </w:pPr>
      <w:r w:rsidRPr="00447CEF">
        <w:rPr>
          <w:rFonts w:ascii="Times New Roman" w:eastAsia="Times New Roman" w:hAnsi="Times New Roman" w:cs="Times New Roman"/>
          <w:color w:val="000000"/>
          <w:lang w:eastAsia="ru-RU"/>
        </w:rPr>
        <w:t xml:space="preserve">Вход в каждый пункт (пункты) приема Получателей должен быть обозначен надписью (например, «Пункт выдачи ТСР»), позволяющей однозначно определить место нахождения указанного пункта (пунктов) приема Получателей. Проход в пункт (пункты) приема Получателей и передвижение по ним должны быть беспрепятственны для инвалидов (в случае необходимости, пункты приема должны быть оборудованы </w:t>
      </w:r>
      <w:r w:rsidRPr="00447CEF">
        <w:rPr>
          <w:rFonts w:ascii="Times New Roman" w:eastAsia="Times New Roman" w:hAnsi="Times New Roman" w:cs="Times New Roman"/>
          <w:color w:val="000000"/>
          <w:lang w:eastAsia="ru-RU"/>
        </w:rPr>
        <w:lastRenderedPageBreak/>
        <w:t>пандусами для облегчения передвижения инвалидов и соответствовать требованиям СП 59.13330.2020 «Доступность зданий и сооружений для маломобильных групп населения» (далее - СП 59.13330.2020). Исполнителем должна быть обеспечена возможность самостоятельного передвижения инвалидов по территории пункта (пунктов) приема Получателей, в том числе с помощью его работников, а также сменного кресла-коляски.</w:t>
      </w:r>
    </w:p>
    <w:p w:rsidR="00447CEF" w:rsidRPr="00447CEF" w:rsidRDefault="00447CEF" w:rsidP="00447CEF">
      <w:pPr>
        <w:spacing w:after="0" w:line="16" w:lineRule="atLeast"/>
        <w:rPr>
          <w:rFonts w:ascii="Times New Roman" w:eastAsia="Times New Roman" w:hAnsi="Times New Roman" w:cs="Times New Roman"/>
          <w:color w:val="000000"/>
          <w:lang w:eastAsia="ru-RU"/>
        </w:rPr>
      </w:pPr>
      <w:r w:rsidRPr="00447CEF">
        <w:rPr>
          <w:rFonts w:ascii="Times New Roman" w:eastAsia="Times New Roman" w:hAnsi="Times New Roman" w:cs="Times New Roman"/>
          <w:b/>
          <w:color w:val="000000"/>
          <w:lang w:eastAsia="ru-RU"/>
        </w:rPr>
        <w:t>Входная группа</w:t>
      </w:r>
      <w:r w:rsidRPr="00447CEF">
        <w:rPr>
          <w:rFonts w:ascii="Times New Roman" w:eastAsia="Times New Roman" w:hAnsi="Times New Roman" w:cs="Times New Roman"/>
          <w:color w:val="000000"/>
          <w:lang w:eastAsia="ru-RU"/>
        </w:rPr>
        <w:t xml:space="preserve"> </w:t>
      </w:r>
    </w:p>
    <w:p w:rsidR="00447CEF" w:rsidRPr="00447CEF" w:rsidRDefault="00447CEF" w:rsidP="00447CEF">
      <w:pPr>
        <w:spacing w:after="5" w:line="16" w:lineRule="atLeast"/>
        <w:jc w:val="both"/>
        <w:rPr>
          <w:rFonts w:ascii="Times New Roman" w:eastAsia="Times New Roman" w:hAnsi="Times New Roman" w:cs="Times New Roman"/>
          <w:color w:val="000000"/>
          <w:lang w:eastAsia="ru-RU"/>
        </w:rPr>
      </w:pPr>
      <w:r w:rsidRPr="00447CEF">
        <w:rPr>
          <w:rFonts w:ascii="Times New Roman" w:eastAsia="Times New Roman" w:hAnsi="Times New Roman" w:cs="Times New Roman"/>
          <w:color w:val="000000"/>
          <w:lang w:eastAsia="ru-RU"/>
        </w:rPr>
        <w:t>При перепадах высот исполнитель должен учитывать наличие следующих элементов:</w:t>
      </w:r>
    </w:p>
    <w:p w:rsidR="00447CEF" w:rsidRPr="00447CEF" w:rsidRDefault="00447CEF" w:rsidP="00447CEF">
      <w:pPr>
        <w:numPr>
          <w:ilvl w:val="0"/>
          <w:numId w:val="8"/>
        </w:numPr>
        <w:spacing w:after="5" w:line="16" w:lineRule="atLeast"/>
        <w:jc w:val="both"/>
        <w:rPr>
          <w:rFonts w:ascii="Times New Roman" w:eastAsia="Times New Roman" w:hAnsi="Times New Roman" w:cs="Times New Roman"/>
          <w:color w:val="000000"/>
          <w:lang w:eastAsia="ru-RU"/>
        </w:rPr>
      </w:pPr>
      <w:r w:rsidRPr="00447CEF">
        <w:rPr>
          <w:rFonts w:ascii="Times New Roman" w:eastAsia="Times New Roman" w:hAnsi="Times New Roman" w:cs="Times New Roman"/>
          <w:color w:val="000000"/>
          <w:lang w:eastAsia="ru-RU"/>
        </w:rPr>
        <w:t>Пандус с поручнями (в соответствии с п. 5.1.14 – п. 5.1.16; п. 6.1.2; п. 6.2.9 – п. 6.2.11 СП 59.13330.2020);</w:t>
      </w:r>
    </w:p>
    <w:p w:rsidR="00447CEF" w:rsidRPr="00447CEF" w:rsidRDefault="00447CEF" w:rsidP="00447CEF">
      <w:pPr>
        <w:spacing w:after="5" w:line="16" w:lineRule="atLeast"/>
        <w:jc w:val="both"/>
        <w:rPr>
          <w:rFonts w:ascii="Times New Roman" w:eastAsia="Times New Roman" w:hAnsi="Times New Roman" w:cs="Times New Roman"/>
          <w:color w:val="000000"/>
          <w:lang w:eastAsia="ru-RU"/>
        </w:rPr>
      </w:pPr>
      <w:r w:rsidRPr="00447CEF">
        <w:rPr>
          <w:rFonts w:ascii="Times New Roman" w:eastAsia="Times New Roman" w:hAnsi="Times New Roman" w:cs="Times New Roman"/>
          <w:color w:val="000000"/>
          <w:lang w:eastAsia="ru-RU"/>
        </w:rPr>
        <w:t>Пандус должен иметь нормативный угол наклона, непрерывное двухстороннее ограждение с поручнями шириной не более 0,9 - 1,0 метра, высотой нижних поручней 0,7 м, а верхних 0,9 м.</w:t>
      </w:r>
    </w:p>
    <w:p w:rsidR="00447CEF" w:rsidRPr="00447CEF" w:rsidRDefault="00447CEF" w:rsidP="00447CEF">
      <w:pPr>
        <w:numPr>
          <w:ilvl w:val="0"/>
          <w:numId w:val="8"/>
        </w:numPr>
        <w:spacing w:after="5" w:line="16" w:lineRule="atLeast"/>
        <w:jc w:val="both"/>
        <w:rPr>
          <w:rFonts w:ascii="Times New Roman" w:eastAsia="Times New Roman" w:hAnsi="Times New Roman" w:cs="Times New Roman"/>
          <w:color w:val="000000"/>
          <w:lang w:eastAsia="ru-RU"/>
        </w:rPr>
      </w:pPr>
      <w:r w:rsidRPr="00447CEF">
        <w:rPr>
          <w:rFonts w:ascii="Times New Roman" w:eastAsia="Times New Roman" w:hAnsi="Times New Roman" w:cs="Times New Roman"/>
          <w:color w:val="000000"/>
          <w:lang w:eastAsia="ru-RU"/>
        </w:rPr>
        <w:t>Лестница с поручнями;</w:t>
      </w:r>
    </w:p>
    <w:p w:rsidR="00447CEF" w:rsidRPr="00447CEF" w:rsidRDefault="00447CEF" w:rsidP="00447CEF">
      <w:pPr>
        <w:spacing w:after="5" w:line="16" w:lineRule="atLeast"/>
        <w:jc w:val="both"/>
        <w:rPr>
          <w:rFonts w:ascii="Times New Roman" w:eastAsia="Times New Roman" w:hAnsi="Times New Roman" w:cs="Times New Roman"/>
          <w:color w:val="000000"/>
          <w:lang w:eastAsia="ru-RU"/>
        </w:rPr>
      </w:pPr>
      <w:r w:rsidRPr="00447CEF">
        <w:rPr>
          <w:rFonts w:ascii="Times New Roman" w:eastAsia="Times New Roman" w:hAnsi="Times New Roman" w:cs="Times New Roman"/>
          <w:color w:val="000000"/>
          <w:lang w:eastAsia="ru-RU"/>
        </w:rPr>
        <w:t>Вдоль обеих сторон всех пандусов и открытых лестниц необходимо устанавливать ограждения с поручнями. Поручни следует располагать на высоте 0,9 м (в соответствии с п. 6.2.11 СП 59.13330.2020). Краевые ступени (плоскость) лестниц необходимо обеспечить противоскользящими контрастными полосами общей шириной 0,08 - 0,1 м (в соответствии с п. 6.2.8 СП 59.13330.2020).</w:t>
      </w:r>
    </w:p>
    <w:p w:rsidR="00447CEF" w:rsidRPr="00447CEF" w:rsidRDefault="00447CEF" w:rsidP="00447CEF">
      <w:pPr>
        <w:spacing w:after="5" w:line="16" w:lineRule="atLeast"/>
        <w:jc w:val="both"/>
        <w:rPr>
          <w:rFonts w:ascii="Times New Roman" w:eastAsia="Times New Roman" w:hAnsi="Times New Roman" w:cs="Times New Roman"/>
          <w:color w:val="000000"/>
          <w:lang w:eastAsia="ru-RU"/>
        </w:rPr>
      </w:pPr>
      <w:r w:rsidRPr="00447CEF">
        <w:rPr>
          <w:rFonts w:ascii="Times New Roman" w:eastAsia="Times New Roman" w:hAnsi="Times New Roman" w:cs="Times New Roman"/>
          <w:color w:val="000000"/>
          <w:lang w:eastAsia="ru-RU"/>
        </w:rPr>
        <w:t>Применение для инвалидов вместо пандусов аппарелей не допускается на объекте (в соответствии с п. 6.1.2 СП 59.13330.2020).</w:t>
      </w:r>
    </w:p>
    <w:p w:rsidR="00447CEF" w:rsidRPr="00447CEF" w:rsidRDefault="00447CEF" w:rsidP="00B866AB">
      <w:pPr>
        <w:numPr>
          <w:ilvl w:val="0"/>
          <w:numId w:val="8"/>
        </w:numPr>
        <w:spacing w:after="5" w:line="16" w:lineRule="atLeast"/>
        <w:ind w:left="0"/>
        <w:jc w:val="both"/>
        <w:rPr>
          <w:rFonts w:ascii="Times New Roman" w:eastAsia="Times New Roman" w:hAnsi="Times New Roman" w:cs="Times New Roman"/>
          <w:color w:val="000000"/>
          <w:lang w:eastAsia="ru-RU"/>
        </w:rPr>
      </w:pPr>
      <w:r w:rsidRPr="00447CEF">
        <w:rPr>
          <w:rFonts w:ascii="Times New Roman" w:eastAsia="Times New Roman" w:hAnsi="Times New Roman" w:cs="Times New Roman"/>
          <w:color w:val="000000"/>
          <w:lang w:eastAsia="ru-RU"/>
        </w:rPr>
        <w:t>Ширина дверных проемов не менее 0,9 м. Прозрачное полотно двери необходимо оснастить яркой контрастной маркировкой. В проемах дверей допускаются пороги высотой не более 0,014 м (в соответствии с п. 6.1.5, п. 6.1.6, п. 6.2.4 СП 59.13330.2020).</w:t>
      </w:r>
    </w:p>
    <w:p w:rsidR="00447CEF" w:rsidRPr="00447CEF" w:rsidRDefault="00447CEF" w:rsidP="00B866AB">
      <w:pPr>
        <w:numPr>
          <w:ilvl w:val="0"/>
          <w:numId w:val="8"/>
        </w:numPr>
        <w:spacing w:after="5" w:line="16" w:lineRule="atLeast"/>
        <w:ind w:left="0"/>
        <w:jc w:val="both"/>
        <w:rPr>
          <w:rFonts w:ascii="Times New Roman" w:eastAsia="Times New Roman" w:hAnsi="Times New Roman" w:cs="Times New Roman"/>
          <w:color w:val="000000"/>
          <w:lang w:eastAsia="ru-RU"/>
        </w:rPr>
      </w:pPr>
      <w:r w:rsidRPr="00447CEF">
        <w:rPr>
          <w:rFonts w:ascii="Times New Roman" w:eastAsia="Times New Roman" w:hAnsi="Times New Roman" w:cs="Times New Roman"/>
          <w:color w:val="000000"/>
          <w:lang w:eastAsia="ru-RU"/>
        </w:rPr>
        <w:t>Тактильно-контрастные указатели;</w:t>
      </w:r>
    </w:p>
    <w:p w:rsidR="00447CEF" w:rsidRPr="00447CEF" w:rsidRDefault="00447CEF" w:rsidP="00B866AB">
      <w:pPr>
        <w:spacing w:after="5" w:line="16" w:lineRule="atLeast"/>
        <w:jc w:val="both"/>
        <w:rPr>
          <w:rFonts w:ascii="Times New Roman" w:eastAsia="Times New Roman" w:hAnsi="Times New Roman" w:cs="Times New Roman"/>
          <w:color w:val="000000"/>
          <w:lang w:eastAsia="ru-RU"/>
        </w:rPr>
      </w:pPr>
      <w:r w:rsidRPr="00447CEF">
        <w:rPr>
          <w:rFonts w:ascii="Times New Roman" w:eastAsia="Times New Roman" w:hAnsi="Times New Roman" w:cs="Times New Roman"/>
          <w:color w:val="000000"/>
          <w:lang w:eastAsia="ru-RU"/>
        </w:rPr>
        <w:t>В целях обеспечения безопасности необходимо иметь перед препятствиями доступного входа, началом опасного участка, перед внешней лестницей, предупреждающие тактильно-контрастные указатели (в соответствии с п. 5.1.10 СП 59.13330.2020).</w:t>
      </w:r>
    </w:p>
    <w:p w:rsidR="00447CEF" w:rsidRPr="00447CEF" w:rsidRDefault="00447CEF" w:rsidP="00B866AB">
      <w:pPr>
        <w:spacing w:after="0" w:line="16" w:lineRule="atLeast"/>
        <w:rPr>
          <w:rFonts w:ascii="Times New Roman" w:eastAsia="Times New Roman" w:hAnsi="Times New Roman" w:cs="Times New Roman"/>
          <w:color w:val="000000"/>
          <w:lang w:eastAsia="ru-RU"/>
        </w:rPr>
      </w:pPr>
      <w:r w:rsidRPr="00447CEF">
        <w:rPr>
          <w:rFonts w:ascii="Times New Roman" w:eastAsia="Times New Roman" w:hAnsi="Times New Roman" w:cs="Times New Roman"/>
          <w:b/>
          <w:color w:val="000000"/>
          <w:lang w:eastAsia="ru-RU"/>
        </w:rPr>
        <w:t>Пути движения внутри пункта (пунктов) приема Получателей</w:t>
      </w:r>
    </w:p>
    <w:p w:rsidR="00447CEF" w:rsidRPr="00447CEF" w:rsidRDefault="00447CEF" w:rsidP="00B866AB">
      <w:pPr>
        <w:spacing w:after="5" w:line="16" w:lineRule="atLeast"/>
        <w:jc w:val="both"/>
        <w:rPr>
          <w:rFonts w:ascii="Times New Roman" w:eastAsia="Times New Roman" w:hAnsi="Times New Roman" w:cs="Times New Roman"/>
          <w:color w:val="000000"/>
          <w:lang w:eastAsia="ru-RU"/>
        </w:rPr>
      </w:pPr>
      <w:r w:rsidRPr="00447CEF">
        <w:rPr>
          <w:rFonts w:ascii="Times New Roman" w:eastAsia="Times New Roman" w:hAnsi="Times New Roman" w:cs="Times New Roman"/>
          <w:color w:val="000000"/>
          <w:lang w:eastAsia="ru-RU"/>
        </w:rPr>
        <w:t>При перепадах высот Исполнитель должен учитывать наличие следующих элементов:</w:t>
      </w:r>
    </w:p>
    <w:p w:rsidR="00447CEF" w:rsidRPr="00447CEF" w:rsidRDefault="00447CEF" w:rsidP="00B866AB">
      <w:pPr>
        <w:numPr>
          <w:ilvl w:val="0"/>
          <w:numId w:val="8"/>
        </w:numPr>
        <w:spacing w:after="5" w:line="16" w:lineRule="atLeast"/>
        <w:ind w:left="0"/>
        <w:jc w:val="both"/>
        <w:rPr>
          <w:rFonts w:ascii="Times New Roman" w:eastAsia="Times New Roman" w:hAnsi="Times New Roman" w:cs="Times New Roman"/>
          <w:color w:val="000000"/>
          <w:lang w:eastAsia="ru-RU"/>
        </w:rPr>
      </w:pPr>
      <w:r w:rsidRPr="00447CEF">
        <w:rPr>
          <w:rFonts w:ascii="Times New Roman" w:eastAsia="Times New Roman" w:hAnsi="Times New Roman" w:cs="Times New Roman"/>
          <w:color w:val="000000"/>
          <w:lang w:eastAsia="ru-RU"/>
        </w:rPr>
        <w:t>Лифт, подъемная платформа, эскалатор (в соответствии с п. 6.2.13 – п. 6.2.18 СП 59.13330.2020).</w:t>
      </w:r>
      <w:r w:rsidRPr="00447CEF">
        <w:rPr>
          <w:rFonts w:ascii="Times New Roman" w:eastAsia="Times New Roman" w:hAnsi="Times New Roman" w:cs="Times New Roman"/>
          <w:b/>
          <w:color w:val="000000"/>
          <w:lang w:eastAsia="ru-RU"/>
        </w:rPr>
        <w:t xml:space="preserve"> </w:t>
      </w:r>
    </w:p>
    <w:p w:rsidR="00447CEF" w:rsidRPr="00447CEF" w:rsidRDefault="00447CEF" w:rsidP="00B866AB">
      <w:pPr>
        <w:spacing w:after="5" w:line="16" w:lineRule="atLeast"/>
        <w:jc w:val="both"/>
        <w:rPr>
          <w:rFonts w:ascii="Times New Roman" w:eastAsia="Times New Roman" w:hAnsi="Times New Roman" w:cs="Times New Roman"/>
          <w:color w:val="000000"/>
          <w:lang w:eastAsia="ru-RU"/>
        </w:rPr>
      </w:pPr>
      <w:r w:rsidRPr="00447CEF">
        <w:rPr>
          <w:rFonts w:ascii="Times New Roman" w:eastAsia="Times New Roman" w:hAnsi="Times New Roman" w:cs="Times New Roman"/>
          <w:color w:val="000000"/>
          <w:lang w:eastAsia="ru-RU"/>
        </w:rPr>
        <w:t>Лифт должен иметь габариты не менее 1100х1400 мм (ширина х глубина).</w:t>
      </w:r>
    </w:p>
    <w:p w:rsidR="00447CEF" w:rsidRPr="00447CEF" w:rsidRDefault="00447CEF" w:rsidP="00B866AB">
      <w:pPr>
        <w:numPr>
          <w:ilvl w:val="0"/>
          <w:numId w:val="8"/>
        </w:numPr>
        <w:spacing w:after="5" w:line="16" w:lineRule="atLeast"/>
        <w:ind w:left="0"/>
        <w:jc w:val="both"/>
        <w:rPr>
          <w:rFonts w:ascii="Times New Roman" w:eastAsia="Times New Roman" w:hAnsi="Times New Roman" w:cs="Times New Roman"/>
          <w:color w:val="000000"/>
          <w:lang w:eastAsia="ru-RU"/>
        </w:rPr>
      </w:pPr>
      <w:r w:rsidRPr="00447CEF">
        <w:rPr>
          <w:rFonts w:ascii="Times New Roman" w:eastAsia="Times New Roman" w:hAnsi="Times New Roman" w:cs="Times New Roman"/>
          <w:color w:val="000000"/>
          <w:lang w:eastAsia="ru-RU"/>
        </w:rPr>
        <w:t>Лестницы необходимо обеспечить противоскользящими контрастными полосами общей шириной 0,08 - 0,1 м (в соответствии с п. 6.2.8 СП 59.13330.2020).</w:t>
      </w:r>
    </w:p>
    <w:p w:rsidR="00447CEF" w:rsidRPr="00447CEF" w:rsidRDefault="00447CEF" w:rsidP="00B866AB">
      <w:pPr>
        <w:numPr>
          <w:ilvl w:val="0"/>
          <w:numId w:val="8"/>
        </w:numPr>
        <w:spacing w:after="5" w:line="16" w:lineRule="atLeast"/>
        <w:ind w:left="0"/>
        <w:jc w:val="both"/>
        <w:rPr>
          <w:rFonts w:ascii="Times New Roman" w:eastAsia="Times New Roman" w:hAnsi="Times New Roman" w:cs="Times New Roman"/>
          <w:color w:val="000000"/>
          <w:lang w:eastAsia="ru-RU"/>
        </w:rPr>
      </w:pPr>
      <w:r w:rsidRPr="00447CEF">
        <w:rPr>
          <w:rFonts w:ascii="Times New Roman" w:eastAsia="Times New Roman" w:hAnsi="Times New Roman" w:cs="Times New Roman"/>
          <w:color w:val="000000"/>
          <w:lang w:eastAsia="ru-RU"/>
        </w:rPr>
        <w:t>Необходимо обеспечить зону досягаемости для посетителей в кресле-коляске в пределах, установленных в соответствии с п. 8.1.7 СП 59.133330.2020.</w:t>
      </w:r>
    </w:p>
    <w:p w:rsidR="00447CEF" w:rsidRPr="00447CEF" w:rsidRDefault="00447CEF" w:rsidP="00B866AB">
      <w:pPr>
        <w:numPr>
          <w:ilvl w:val="0"/>
          <w:numId w:val="8"/>
        </w:numPr>
        <w:spacing w:after="5" w:line="16" w:lineRule="atLeast"/>
        <w:ind w:left="0"/>
        <w:jc w:val="both"/>
        <w:rPr>
          <w:rFonts w:ascii="Times New Roman" w:eastAsia="Times New Roman" w:hAnsi="Times New Roman" w:cs="Times New Roman"/>
          <w:color w:val="000000"/>
          <w:lang w:eastAsia="ru-RU"/>
        </w:rPr>
      </w:pPr>
      <w:r w:rsidRPr="00447CEF">
        <w:rPr>
          <w:rFonts w:ascii="Times New Roman" w:eastAsia="Times New Roman" w:hAnsi="Times New Roman" w:cs="Times New Roman"/>
          <w:color w:val="000000"/>
          <w:lang w:eastAsia="ru-RU"/>
        </w:rPr>
        <w:t>Помещение пункта (пунктов) приема должно быть обеспечено техническими средствами информирования, ориентирования и сигнализации для однозначной идентификации объектов и мест посещения, получения информации о размещении и назначении функциональных элементов, об ассортименте и характере предоставляемых услуг, надежной ориентации в пространстве, своевременного предупреждения об опасности в экстремальных ситуациях, расположении путей эвакуации.</w:t>
      </w:r>
    </w:p>
    <w:p w:rsidR="00447CEF" w:rsidRPr="00447CEF" w:rsidRDefault="00447CEF" w:rsidP="00B866AB">
      <w:pPr>
        <w:numPr>
          <w:ilvl w:val="0"/>
          <w:numId w:val="8"/>
        </w:numPr>
        <w:spacing w:after="5" w:line="16" w:lineRule="atLeast"/>
        <w:ind w:left="0"/>
        <w:jc w:val="both"/>
        <w:rPr>
          <w:rFonts w:ascii="Times New Roman" w:eastAsia="Times New Roman" w:hAnsi="Times New Roman" w:cs="Times New Roman"/>
          <w:color w:val="000000"/>
          <w:lang w:eastAsia="ru-RU"/>
        </w:rPr>
      </w:pPr>
      <w:r w:rsidRPr="00447CEF">
        <w:rPr>
          <w:rFonts w:ascii="Times New Roman" w:eastAsia="Times New Roman" w:hAnsi="Times New Roman" w:cs="Times New Roman"/>
          <w:color w:val="000000"/>
          <w:lang w:eastAsia="ru-RU"/>
        </w:rPr>
        <w:t>Ширина дверных полотен, открытых проемов в стене на путях движения внутри пункта (пунктов) должна быть не менее 0,9 м. Дверные проемы не должны иметь порогов более 0,014 м (в соответствии с п. 6.2.4 СП 59.13330.2020).</w:t>
      </w:r>
    </w:p>
    <w:p w:rsidR="00447CEF" w:rsidRPr="00447CEF" w:rsidRDefault="00447CEF" w:rsidP="00B866AB">
      <w:pPr>
        <w:numPr>
          <w:ilvl w:val="0"/>
          <w:numId w:val="8"/>
        </w:numPr>
        <w:spacing w:after="5" w:line="16" w:lineRule="atLeast"/>
        <w:ind w:left="0"/>
        <w:jc w:val="both"/>
        <w:rPr>
          <w:rFonts w:ascii="Times New Roman" w:eastAsia="Times New Roman" w:hAnsi="Times New Roman" w:cs="Times New Roman"/>
          <w:color w:val="000000"/>
          <w:lang w:eastAsia="ru-RU"/>
        </w:rPr>
      </w:pPr>
      <w:r w:rsidRPr="00447CEF">
        <w:rPr>
          <w:rFonts w:ascii="Times New Roman" w:eastAsia="Times New Roman" w:hAnsi="Times New Roman" w:cs="Times New Roman"/>
          <w:color w:val="000000"/>
          <w:lang w:eastAsia="ru-RU"/>
        </w:rPr>
        <w:t>В целях безопасности, участки пола на путях движения человека с инвалидностью должны быть оснащены тактильно-контрастными предупреждающими указателями (в соответствии с п. 6.2.3 СП 59.13330.2020).</w:t>
      </w:r>
    </w:p>
    <w:p w:rsidR="00447CEF" w:rsidRPr="00447CEF" w:rsidRDefault="00447CEF" w:rsidP="00447CEF">
      <w:pPr>
        <w:spacing w:after="0" w:line="16" w:lineRule="atLeast"/>
        <w:rPr>
          <w:rFonts w:ascii="Times New Roman" w:eastAsia="Times New Roman" w:hAnsi="Times New Roman" w:cs="Times New Roman"/>
          <w:color w:val="000000"/>
          <w:lang w:eastAsia="ru-RU"/>
        </w:rPr>
      </w:pPr>
      <w:r w:rsidRPr="00447CEF">
        <w:rPr>
          <w:rFonts w:ascii="Times New Roman" w:eastAsia="Times New Roman" w:hAnsi="Times New Roman" w:cs="Times New Roman"/>
          <w:b/>
          <w:color w:val="000000"/>
          <w:lang w:eastAsia="ru-RU"/>
        </w:rPr>
        <w:t>Пути эвакуации</w:t>
      </w:r>
    </w:p>
    <w:p w:rsidR="00447CEF" w:rsidRPr="00447CEF" w:rsidRDefault="00447CEF" w:rsidP="00447CEF">
      <w:pPr>
        <w:spacing w:after="5" w:line="16" w:lineRule="atLeast"/>
        <w:jc w:val="both"/>
        <w:rPr>
          <w:rFonts w:ascii="Times New Roman" w:eastAsia="Times New Roman" w:hAnsi="Times New Roman" w:cs="Times New Roman"/>
          <w:color w:val="000000"/>
          <w:lang w:eastAsia="ru-RU"/>
        </w:rPr>
      </w:pPr>
      <w:r w:rsidRPr="00447CEF">
        <w:rPr>
          <w:rFonts w:ascii="Times New Roman" w:eastAsia="Times New Roman" w:hAnsi="Times New Roman" w:cs="Times New Roman"/>
          <w:color w:val="000000"/>
          <w:lang w:eastAsia="ru-RU"/>
        </w:rPr>
        <w:t xml:space="preserve">В случае невозможности соблюдения положений части 15 статьи 89 </w:t>
      </w:r>
      <w:hyperlink r:id="rId5">
        <w:r w:rsidRPr="00447CEF">
          <w:rPr>
            <w:rFonts w:ascii="Times New Roman" w:eastAsia="Times New Roman" w:hAnsi="Times New Roman" w:cs="Times New Roman"/>
            <w:color w:val="000000"/>
            <w:lang w:eastAsia="ru-RU"/>
          </w:rPr>
          <w:t>Федерального</w:t>
        </w:r>
      </w:hyperlink>
      <w:hyperlink r:id="rId6">
        <w:r w:rsidRPr="00447CEF">
          <w:rPr>
            <w:rFonts w:ascii="Times New Roman" w:eastAsia="Times New Roman" w:hAnsi="Times New Roman" w:cs="Times New Roman"/>
            <w:color w:val="000000"/>
            <w:lang w:eastAsia="ru-RU"/>
          </w:rPr>
          <w:t xml:space="preserve"> </w:t>
        </w:r>
      </w:hyperlink>
      <w:hyperlink r:id="rId7">
        <w:r w:rsidRPr="00447CEF">
          <w:rPr>
            <w:rFonts w:ascii="Times New Roman" w:eastAsia="Times New Roman" w:hAnsi="Times New Roman" w:cs="Times New Roman"/>
            <w:color w:val="000000"/>
            <w:lang w:eastAsia="ru-RU"/>
          </w:rPr>
          <w:t>закона</w:t>
        </w:r>
      </w:hyperlink>
      <w:hyperlink r:id="rId8">
        <w:r w:rsidRPr="00447CEF">
          <w:rPr>
            <w:rFonts w:ascii="Times New Roman" w:eastAsia="Times New Roman" w:hAnsi="Times New Roman" w:cs="Times New Roman"/>
            <w:color w:val="000000"/>
            <w:lang w:eastAsia="ru-RU"/>
          </w:rPr>
          <w:t xml:space="preserve"> </w:t>
        </w:r>
      </w:hyperlink>
      <w:hyperlink r:id="rId9">
        <w:r w:rsidRPr="00447CEF">
          <w:rPr>
            <w:rFonts w:ascii="Times New Roman" w:eastAsia="Times New Roman" w:hAnsi="Times New Roman" w:cs="Times New Roman"/>
            <w:color w:val="000000"/>
            <w:lang w:eastAsia="ru-RU"/>
          </w:rPr>
          <w:t>от</w:t>
        </w:r>
      </w:hyperlink>
      <w:hyperlink r:id="rId10">
        <w:r w:rsidRPr="00447CEF">
          <w:rPr>
            <w:rFonts w:ascii="Times New Roman" w:eastAsia="Times New Roman" w:hAnsi="Times New Roman" w:cs="Times New Roman"/>
            <w:color w:val="000000"/>
            <w:lang w:eastAsia="ru-RU"/>
          </w:rPr>
          <w:t xml:space="preserve"> </w:t>
        </w:r>
      </w:hyperlink>
      <w:hyperlink r:id="rId11">
        <w:r w:rsidRPr="00447CEF">
          <w:rPr>
            <w:rFonts w:ascii="Times New Roman" w:eastAsia="Times New Roman" w:hAnsi="Times New Roman" w:cs="Times New Roman"/>
            <w:color w:val="000000"/>
            <w:lang w:eastAsia="ru-RU"/>
          </w:rPr>
          <w:t xml:space="preserve">22.07.2008 </w:t>
        </w:r>
      </w:hyperlink>
      <w:hyperlink r:id="rId12">
        <w:r w:rsidRPr="00447CEF">
          <w:rPr>
            <w:rFonts w:ascii="Times New Roman" w:eastAsia="Times New Roman" w:hAnsi="Times New Roman" w:cs="Times New Roman"/>
            <w:color w:val="000000"/>
            <w:lang w:eastAsia="ru-RU"/>
          </w:rPr>
          <w:t>№</w:t>
        </w:r>
      </w:hyperlink>
      <w:hyperlink r:id="rId13">
        <w:r w:rsidRPr="00447CEF">
          <w:rPr>
            <w:rFonts w:ascii="Times New Roman" w:eastAsia="Times New Roman" w:hAnsi="Times New Roman" w:cs="Times New Roman"/>
            <w:color w:val="000000"/>
            <w:lang w:eastAsia="ru-RU"/>
          </w:rPr>
          <w:t>123-</w:t>
        </w:r>
      </w:hyperlink>
      <w:hyperlink r:id="rId14">
        <w:r w:rsidRPr="00447CEF">
          <w:rPr>
            <w:rFonts w:ascii="Times New Roman" w:eastAsia="Times New Roman" w:hAnsi="Times New Roman" w:cs="Times New Roman"/>
            <w:color w:val="000000"/>
            <w:lang w:eastAsia="ru-RU"/>
          </w:rPr>
          <w:t>ФЗ</w:t>
        </w:r>
      </w:hyperlink>
      <w:hyperlink r:id="rId15">
        <w:r w:rsidRPr="00447CEF">
          <w:rPr>
            <w:rFonts w:ascii="Times New Roman" w:eastAsia="Times New Roman" w:hAnsi="Times New Roman" w:cs="Times New Roman"/>
            <w:color w:val="000000"/>
            <w:lang w:eastAsia="ru-RU"/>
          </w:rPr>
          <w:t xml:space="preserve"> «</w:t>
        </w:r>
      </w:hyperlink>
      <w:hyperlink r:id="rId16">
        <w:r w:rsidRPr="00447CEF">
          <w:rPr>
            <w:rFonts w:ascii="Times New Roman" w:eastAsia="Times New Roman" w:hAnsi="Times New Roman" w:cs="Times New Roman"/>
            <w:color w:val="000000"/>
            <w:lang w:eastAsia="ru-RU"/>
          </w:rPr>
          <w:t>Технический</w:t>
        </w:r>
      </w:hyperlink>
      <w:hyperlink r:id="rId17">
        <w:r w:rsidRPr="00447CEF">
          <w:rPr>
            <w:rFonts w:ascii="Times New Roman" w:eastAsia="Times New Roman" w:hAnsi="Times New Roman" w:cs="Times New Roman"/>
            <w:color w:val="000000"/>
            <w:lang w:eastAsia="ru-RU"/>
          </w:rPr>
          <w:t xml:space="preserve"> </w:t>
        </w:r>
      </w:hyperlink>
      <w:hyperlink r:id="rId18">
        <w:r w:rsidRPr="00447CEF">
          <w:rPr>
            <w:rFonts w:ascii="Times New Roman" w:eastAsia="Times New Roman" w:hAnsi="Times New Roman" w:cs="Times New Roman"/>
            <w:color w:val="000000"/>
            <w:lang w:eastAsia="ru-RU"/>
          </w:rPr>
          <w:t>регламент</w:t>
        </w:r>
      </w:hyperlink>
      <w:hyperlink r:id="rId19">
        <w:r w:rsidRPr="00447CEF">
          <w:rPr>
            <w:rFonts w:ascii="Times New Roman" w:eastAsia="Times New Roman" w:hAnsi="Times New Roman" w:cs="Times New Roman"/>
            <w:color w:val="000000"/>
            <w:lang w:eastAsia="ru-RU"/>
          </w:rPr>
          <w:t xml:space="preserve"> </w:t>
        </w:r>
      </w:hyperlink>
      <w:hyperlink r:id="rId20">
        <w:r w:rsidRPr="00447CEF">
          <w:rPr>
            <w:rFonts w:ascii="Times New Roman" w:eastAsia="Times New Roman" w:hAnsi="Times New Roman" w:cs="Times New Roman"/>
            <w:color w:val="000000"/>
            <w:lang w:eastAsia="ru-RU"/>
          </w:rPr>
          <w:t>о</w:t>
        </w:r>
      </w:hyperlink>
      <w:hyperlink r:id="rId21">
        <w:r w:rsidRPr="00447CEF">
          <w:rPr>
            <w:rFonts w:ascii="Times New Roman" w:eastAsia="Times New Roman" w:hAnsi="Times New Roman" w:cs="Times New Roman"/>
            <w:color w:val="000000"/>
            <w:lang w:eastAsia="ru-RU"/>
          </w:rPr>
          <w:t xml:space="preserve"> </w:t>
        </w:r>
      </w:hyperlink>
      <w:hyperlink r:id="rId22">
        <w:r w:rsidRPr="00447CEF">
          <w:rPr>
            <w:rFonts w:ascii="Times New Roman" w:eastAsia="Times New Roman" w:hAnsi="Times New Roman" w:cs="Times New Roman"/>
            <w:color w:val="000000"/>
            <w:lang w:eastAsia="ru-RU"/>
          </w:rPr>
          <w:t>требованиях</w:t>
        </w:r>
      </w:hyperlink>
      <w:hyperlink r:id="rId23">
        <w:r w:rsidRPr="00447CEF">
          <w:rPr>
            <w:rFonts w:ascii="Times New Roman" w:eastAsia="Times New Roman" w:hAnsi="Times New Roman" w:cs="Times New Roman"/>
            <w:color w:val="000000"/>
            <w:lang w:eastAsia="ru-RU"/>
          </w:rPr>
          <w:t xml:space="preserve"> </w:t>
        </w:r>
      </w:hyperlink>
      <w:hyperlink r:id="rId24">
        <w:r w:rsidRPr="00447CEF">
          <w:rPr>
            <w:rFonts w:ascii="Times New Roman" w:eastAsia="Times New Roman" w:hAnsi="Times New Roman" w:cs="Times New Roman"/>
            <w:color w:val="000000"/>
            <w:lang w:eastAsia="ru-RU"/>
          </w:rPr>
          <w:t>пожарной</w:t>
        </w:r>
      </w:hyperlink>
      <w:hyperlink r:id="rId25">
        <w:r w:rsidRPr="00447CEF">
          <w:rPr>
            <w:rFonts w:ascii="Times New Roman" w:eastAsia="Times New Roman" w:hAnsi="Times New Roman" w:cs="Times New Roman"/>
            <w:color w:val="000000"/>
            <w:lang w:eastAsia="ru-RU"/>
          </w:rPr>
          <w:t xml:space="preserve"> </w:t>
        </w:r>
      </w:hyperlink>
      <w:hyperlink r:id="rId26">
        <w:r w:rsidRPr="00447CEF">
          <w:rPr>
            <w:rFonts w:ascii="Times New Roman" w:eastAsia="Times New Roman" w:hAnsi="Times New Roman" w:cs="Times New Roman"/>
            <w:color w:val="000000"/>
            <w:lang w:eastAsia="ru-RU"/>
          </w:rPr>
          <w:t>безопасности</w:t>
        </w:r>
      </w:hyperlink>
      <w:r w:rsidRPr="00447CEF">
        <w:rPr>
          <w:rFonts w:ascii="Times New Roman" w:eastAsia="Times New Roman" w:hAnsi="Times New Roman" w:cs="Times New Roman"/>
          <w:color w:val="000000"/>
          <w:lang w:eastAsia="ru-RU"/>
        </w:rPr>
        <w:t>» помещения для обслуживания получателей должны быть предусмотрены не выше первого этажа, при этом во всех случаях пути эвакуации должны соответствовать требованиям СП 59.13330.2020 «Свод правил. Доступность зданий и сооружений для маломобильных групп населения».</w:t>
      </w:r>
    </w:p>
    <w:p w:rsidR="00447CEF" w:rsidRPr="00447CEF" w:rsidRDefault="00447CEF" w:rsidP="00447CEF">
      <w:pPr>
        <w:spacing w:after="5" w:line="16" w:lineRule="atLeast"/>
        <w:jc w:val="both"/>
        <w:rPr>
          <w:rFonts w:ascii="Times New Roman" w:eastAsia="Times New Roman" w:hAnsi="Times New Roman" w:cs="Times New Roman"/>
          <w:color w:val="000000"/>
          <w:lang w:eastAsia="ru-RU"/>
        </w:rPr>
      </w:pPr>
      <w:r w:rsidRPr="00447CEF">
        <w:rPr>
          <w:rFonts w:ascii="Times New Roman" w:eastAsia="Times New Roman" w:hAnsi="Times New Roman" w:cs="Times New Roman"/>
          <w:color w:val="000000"/>
          <w:lang w:eastAsia="ru-RU"/>
        </w:rPr>
        <w:t>Пути эвакуации помещений пункта (пунктов) приема должны обеспечивать безопасность посетителей в соответствии с п. 6.2.19 - п. 6.2.32 СП 59.13330.2020.</w:t>
      </w:r>
    </w:p>
    <w:p w:rsidR="00447CEF" w:rsidRPr="00447CEF" w:rsidRDefault="00447CEF" w:rsidP="00447CEF">
      <w:pPr>
        <w:spacing w:after="5" w:line="16" w:lineRule="atLeast"/>
        <w:jc w:val="both"/>
        <w:rPr>
          <w:rFonts w:ascii="Times New Roman" w:eastAsia="Times New Roman" w:hAnsi="Times New Roman" w:cs="Times New Roman"/>
          <w:color w:val="000000"/>
          <w:lang w:eastAsia="ru-RU"/>
        </w:rPr>
      </w:pPr>
      <w:r w:rsidRPr="00447CEF">
        <w:rPr>
          <w:rFonts w:ascii="Times New Roman" w:eastAsia="Times New Roman" w:hAnsi="Times New Roman" w:cs="Times New Roman"/>
          <w:color w:val="000000"/>
          <w:lang w:eastAsia="ru-RU"/>
        </w:rPr>
        <w:t>Обеспечить систему двухсторонней связи с диспетчером или дежурным (в соответствии с п. 6.5.8 СП 59.13330.2020).</w:t>
      </w:r>
    </w:p>
    <w:p w:rsidR="00447CEF" w:rsidRPr="00447CEF" w:rsidRDefault="00447CEF" w:rsidP="00B866AB">
      <w:pPr>
        <w:numPr>
          <w:ilvl w:val="1"/>
          <w:numId w:val="9"/>
        </w:numPr>
        <w:spacing w:after="5" w:line="16" w:lineRule="atLeast"/>
        <w:ind w:left="0"/>
        <w:jc w:val="both"/>
        <w:rPr>
          <w:rFonts w:ascii="Times New Roman" w:eastAsia="Times New Roman" w:hAnsi="Times New Roman" w:cs="Times New Roman"/>
          <w:color w:val="000000"/>
          <w:lang w:eastAsia="ru-RU"/>
        </w:rPr>
      </w:pPr>
      <w:r w:rsidRPr="00447CEF">
        <w:rPr>
          <w:rFonts w:ascii="Times New Roman" w:eastAsia="Times New Roman" w:hAnsi="Times New Roman" w:cs="Times New Roman"/>
          <w:color w:val="000000"/>
          <w:lang w:eastAsia="ru-RU"/>
        </w:rPr>
        <w:t xml:space="preserve">На территории пункта приема должны иметься туалетные комнаты, оборудованные для посещения Получателями в соответствии с п. 5.22. СП 44.13330.2011 Административные и бытовые здания. Актуализированная редакция СНиП 2.09.04-87 (с Поправкой, с Изменениями №1, 2, 3), со свободным </w:t>
      </w:r>
      <w:r w:rsidRPr="00447CEF">
        <w:rPr>
          <w:rFonts w:ascii="Times New Roman" w:eastAsia="Times New Roman" w:hAnsi="Times New Roman" w:cs="Times New Roman"/>
          <w:color w:val="000000"/>
          <w:lang w:eastAsia="ru-RU"/>
        </w:rPr>
        <w:lastRenderedPageBreak/>
        <w:t>доступом Получателей. При чем не менее 1 (одной) оборудованной для посещения Получателей в соответствии с п. 6.3.3, 6.3.6, 6.3.9 СП 59.13330.2020.</w:t>
      </w:r>
    </w:p>
    <w:p w:rsidR="00447CEF" w:rsidRPr="00447CEF" w:rsidRDefault="00447CEF" w:rsidP="00B866AB">
      <w:pPr>
        <w:numPr>
          <w:ilvl w:val="1"/>
          <w:numId w:val="9"/>
        </w:numPr>
        <w:spacing w:after="5" w:line="16" w:lineRule="atLeast"/>
        <w:ind w:left="0"/>
        <w:jc w:val="both"/>
        <w:rPr>
          <w:rFonts w:ascii="Times New Roman" w:eastAsia="Times New Roman" w:hAnsi="Times New Roman" w:cs="Times New Roman"/>
          <w:color w:val="000000"/>
          <w:lang w:eastAsia="ru-RU"/>
        </w:rPr>
      </w:pPr>
      <w:r w:rsidRPr="00447CEF">
        <w:rPr>
          <w:rFonts w:ascii="Times New Roman" w:eastAsia="Times New Roman" w:hAnsi="Times New Roman" w:cs="Times New Roman"/>
          <w:color w:val="000000"/>
          <w:lang w:eastAsia="ru-RU"/>
        </w:rPr>
        <w:t xml:space="preserve">Пункты приема Получателей должны иметь отдельный вход с улицы, зону ожидания Получателей, оборудованную системой «электронной очереди» и мебелью для ожидания в сидячем положении. Максимальное время ожидания Получателей в очереди не должно превышать 15 минут. В случае если загруженность пункта (пунктов) приема Получателей не позволяет обеспечить достижение указанного показателя, Исполнителем оборудуются дополнительные окна обслуживания. </w:t>
      </w:r>
    </w:p>
    <w:p w:rsidR="00447CEF" w:rsidRPr="00447CEF" w:rsidRDefault="00447CEF" w:rsidP="00B866AB">
      <w:pPr>
        <w:numPr>
          <w:ilvl w:val="1"/>
          <w:numId w:val="9"/>
        </w:numPr>
        <w:spacing w:after="5" w:line="16" w:lineRule="atLeast"/>
        <w:ind w:left="0"/>
        <w:jc w:val="both"/>
        <w:rPr>
          <w:rFonts w:ascii="Times New Roman" w:eastAsia="Times New Roman" w:hAnsi="Times New Roman" w:cs="Times New Roman"/>
          <w:color w:val="000000"/>
          <w:lang w:eastAsia="ru-RU"/>
        </w:rPr>
      </w:pPr>
      <w:r w:rsidRPr="00447CEF">
        <w:rPr>
          <w:rFonts w:ascii="Times New Roman" w:eastAsia="Times New Roman" w:hAnsi="Times New Roman" w:cs="Times New Roman"/>
          <w:color w:val="000000"/>
          <w:lang w:eastAsia="ru-RU"/>
        </w:rPr>
        <w:t xml:space="preserve">Окна обслуживания должны быть оборудованы в зоне обслуживания Получателей. Зона обслуживания не должна располагаться в зоне ожидания. Зона ожидания и зона обслуживания пункта (пунктов) приема Получателей должны быть предназначены для Получателей, их представителей и/или сопровождающих лиц, не должны находиться в подземных (подвальных) и цокольных этажах. </w:t>
      </w:r>
    </w:p>
    <w:p w:rsidR="00447CEF" w:rsidRPr="00447CEF" w:rsidRDefault="00447CEF" w:rsidP="00B866AB">
      <w:pPr>
        <w:numPr>
          <w:ilvl w:val="1"/>
          <w:numId w:val="9"/>
        </w:numPr>
        <w:spacing w:after="5" w:line="16" w:lineRule="atLeast"/>
        <w:ind w:left="0"/>
        <w:jc w:val="both"/>
        <w:rPr>
          <w:rFonts w:ascii="Times New Roman" w:eastAsia="Times New Roman" w:hAnsi="Times New Roman" w:cs="Times New Roman"/>
          <w:color w:val="000000"/>
          <w:lang w:eastAsia="ru-RU"/>
        </w:rPr>
      </w:pPr>
      <w:r w:rsidRPr="00447CEF">
        <w:rPr>
          <w:rFonts w:ascii="Times New Roman" w:eastAsia="Times New Roman" w:hAnsi="Times New Roman" w:cs="Times New Roman"/>
          <w:color w:val="000000"/>
          <w:lang w:eastAsia="ru-RU"/>
        </w:rPr>
        <w:t>Изделия должны находиться на складе пункта (пунктов) приема Получателей, обеспечивающем его надлежащее хранение. Изделия не должны находиться в зоне ожидания, в зоне обслуживания, в проходах, на путях эвакуации и других помещениях, не предназначенных для хранения.</w:t>
      </w:r>
    </w:p>
    <w:p w:rsidR="00447CEF" w:rsidRPr="00447CEF" w:rsidRDefault="00447CEF" w:rsidP="00B866AB">
      <w:pPr>
        <w:numPr>
          <w:ilvl w:val="1"/>
          <w:numId w:val="9"/>
        </w:numPr>
        <w:spacing w:after="5" w:line="16" w:lineRule="atLeast"/>
        <w:ind w:left="0"/>
        <w:jc w:val="both"/>
        <w:rPr>
          <w:rFonts w:ascii="Times New Roman" w:eastAsia="Times New Roman" w:hAnsi="Times New Roman" w:cs="Times New Roman"/>
          <w:color w:val="000000"/>
          <w:lang w:eastAsia="ru-RU"/>
        </w:rPr>
      </w:pPr>
      <w:r w:rsidRPr="00447CEF">
        <w:rPr>
          <w:rFonts w:ascii="Times New Roman" w:eastAsia="Times New Roman" w:hAnsi="Times New Roman" w:cs="Times New Roman"/>
          <w:color w:val="000000"/>
          <w:lang w:eastAsia="ru-RU"/>
        </w:rPr>
        <w:t>Пункт (пункты) приема Получателей должны иметь следующие условия доступности в соответствии с Приказом Министерства труда и социальной защиты Российской Федерации от 30 июля 2015 года №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w:t>
      </w:r>
    </w:p>
    <w:p w:rsidR="00447CEF" w:rsidRPr="00447CEF" w:rsidRDefault="00447CEF" w:rsidP="00B866AB">
      <w:pPr>
        <w:numPr>
          <w:ilvl w:val="0"/>
          <w:numId w:val="8"/>
        </w:numPr>
        <w:spacing w:after="5" w:line="16" w:lineRule="atLeast"/>
        <w:ind w:left="0"/>
        <w:jc w:val="both"/>
        <w:rPr>
          <w:rFonts w:ascii="Times New Roman" w:eastAsia="Times New Roman" w:hAnsi="Times New Roman" w:cs="Times New Roman"/>
          <w:color w:val="000000"/>
          <w:lang w:eastAsia="ru-RU"/>
        </w:rPr>
      </w:pPr>
      <w:r w:rsidRPr="00447CEF">
        <w:rPr>
          <w:rFonts w:ascii="Times New Roman" w:eastAsia="Times New Roman" w:hAnsi="Times New Roman" w:cs="Times New Roman"/>
          <w:color w:val="000000"/>
          <w:lang w:eastAsia="ru-RU"/>
        </w:rPr>
        <w:t>возможность беспрепятственного входа в объекты и выхода из них;</w:t>
      </w:r>
    </w:p>
    <w:p w:rsidR="00447CEF" w:rsidRPr="00447CEF" w:rsidRDefault="00447CEF" w:rsidP="00B866AB">
      <w:pPr>
        <w:numPr>
          <w:ilvl w:val="0"/>
          <w:numId w:val="8"/>
        </w:numPr>
        <w:spacing w:after="5" w:line="16" w:lineRule="atLeast"/>
        <w:ind w:left="0"/>
        <w:jc w:val="both"/>
        <w:rPr>
          <w:rFonts w:ascii="Times New Roman" w:eastAsia="Times New Roman" w:hAnsi="Times New Roman" w:cs="Times New Roman"/>
          <w:color w:val="000000"/>
          <w:lang w:eastAsia="ru-RU"/>
        </w:rPr>
      </w:pPr>
      <w:r w:rsidRPr="00447CEF">
        <w:rPr>
          <w:rFonts w:ascii="Times New Roman" w:eastAsia="Times New Roman" w:hAnsi="Times New Roman" w:cs="Times New Roman"/>
          <w:color w:val="000000"/>
          <w:lang w:eastAsia="ru-RU"/>
        </w:rPr>
        <w:t xml:space="preserve">возможность самостоятельного передвижения по территории объекта в целях доступа к месту предоставления услуги, в том числе с помощью работников объекта, предоставляющих услуги, </w:t>
      </w:r>
      <w:proofErr w:type="spellStart"/>
      <w:r w:rsidRPr="00447CEF">
        <w:rPr>
          <w:rFonts w:ascii="Times New Roman" w:eastAsia="Times New Roman" w:hAnsi="Times New Roman" w:cs="Times New Roman"/>
          <w:color w:val="000000"/>
          <w:lang w:eastAsia="ru-RU"/>
        </w:rPr>
        <w:t>ассистивных</w:t>
      </w:r>
      <w:proofErr w:type="spellEnd"/>
      <w:r w:rsidRPr="00447CEF">
        <w:rPr>
          <w:rFonts w:ascii="Times New Roman" w:eastAsia="Times New Roman" w:hAnsi="Times New Roman" w:cs="Times New Roman"/>
          <w:color w:val="000000"/>
          <w:lang w:eastAsia="ru-RU"/>
        </w:rPr>
        <w:t xml:space="preserve"> и вспомогательных технологий, а также сменного кресла-коляски;</w:t>
      </w:r>
    </w:p>
    <w:p w:rsidR="00447CEF" w:rsidRPr="00447CEF" w:rsidRDefault="00447CEF" w:rsidP="009E7F81">
      <w:pPr>
        <w:numPr>
          <w:ilvl w:val="0"/>
          <w:numId w:val="8"/>
        </w:numPr>
        <w:spacing w:after="5" w:line="16" w:lineRule="atLeast"/>
        <w:ind w:left="0"/>
        <w:jc w:val="both"/>
        <w:rPr>
          <w:rFonts w:ascii="Times New Roman" w:eastAsia="Times New Roman" w:hAnsi="Times New Roman" w:cs="Times New Roman"/>
          <w:color w:val="000000"/>
          <w:lang w:eastAsia="ru-RU"/>
        </w:rPr>
      </w:pPr>
      <w:r w:rsidRPr="00447CEF">
        <w:rPr>
          <w:rFonts w:ascii="Times New Roman" w:eastAsia="Times New Roman" w:hAnsi="Times New Roman" w:cs="Times New Roman"/>
          <w:color w:val="000000"/>
          <w:lang w:eastAsia="ru-RU"/>
        </w:rPr>
        <w:t>сопровождение инвалидов, имеющих стойкие нарушения функции зрения и самостоятельного передвижения по территории объекта;</w:t>
      </w:r>
    </w:p>
    <w:p w:rsidR="00447CEF" w:rsidRPr="00447CEF" w:rsidRDefault="00447CEF" w:rsidP="009E7F81">
      <w:pPr>
        <w:numPr>
          <w:ilvl w:val="0"/>
          <w:numId w:val="8"/>
        </w:numPr>
        <w:spacing w:after="5" w:line="16" w:lineRule="atLeast"/>
        <w:ind w:left="0"/>
        <w:jc w:val="both"/>
        <w:rPr>
          <w:rFonts w:ascii="Times New Roman" w:eastAsia="Times New Roman" w:hAnsi="Times New Roman" w:cs="Times New Roman"/>
          <w:color w:val="000000"/>
          <w:lang w:eastAsia="ru-RU"/>
        </w:rPr>
      </w:pPr>
      <w:r w:rsidRPr="00447CEF">
        <w:rPr>
          <w:rFonts w:ascii="Times New Roman" w:eastAsia="Times New Roman" w:hAnsi="Times New Roman" w:cs="Times New Roman"/>
          <w:color w:val="000000"/>
          <w:lang w:eastAsia="ru-RU"/>
        </w:rPr>
        <w:t>содействие инвалиду при входе в объект и выходе из него, информирование инвалида о доступных маршрутах общественного транспорта;</w:t>
      </w:r>
    </w:p>
    <w:p w:rsidR="00447CEF" w:rsidRPr="00447CEF" w:rsidRDefault="00447CEF" w:rsidP="009E7F81">
      <w:pPr>
        <w:numPr>
          <w:ilvl w:val="0"/>
          <w:numId w:val="8"/>
        </w:numPr>
        <w:spacing w:after="5" w:line="16" w:lineRule="atLeast"/>
        <w:ind w:left="0"/>
        <w:jc w:val="both"/>
        <w:rPr>
          <w:rFonts w:ascii="Times New Roman" w:eastAsia="Times New Roman" w:hAnsi="Times New Roman" w:cs="Times New Roman"/>
          <w:color w:val="000000"/>
          <w:lang w:eastAsia="ru-RU"/>
        </w:rPr>
      </w:pPr>
      <w:r w:rsidRPr="00447CEF">
        <w:rPr>
          <w:rFonts w:ascii="Times New Roman" w:eastAsia="Times New Roman" w:hAnsi="Times New Roman" w:cs="Times New Roman"/>
          <w:color w:val="000000"/>
          <w:lang w:eastAsia="ru-RU"/>
        </w:rPr>
        <w:t>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447CEF" w:rsidRPr="00447CEF" w:rsidRDefault="00447CEF" w:rsidP="009E7F81">
      <w:pPr>
        <w:numPr>
          <w:ilvl w:val="0"/>
          <w:numId w:val="8"/>
        </w:numPr>
        <w:spacing w:after="5" w:line="16" w:lineRule="atLeast"/>
        <w:ind w:left="0"/>
        <w:jc w:val="both"/>
        <w:rPr>
          <w:rFonts w:ascii="Times New Roman" w:eastAsia="Times New Roman" w:hAnsi="Times New Roman" w:cs="Times New Roman"/>
          <w:color w:val="000000"/>
          <w:lang w:eastAsia="ru-RU"/>
        </w:rPr>
      </w:pPr>
      <w:r w:rsidRPr="00447CEF">
        <w:rPr>
          <w:rFonts w:ascii="Times New Roman" w:eastAsia="Times New Roman" w:hAnsi="Times New Roman" w:cs="Times New Roman"/>
          <w:color w:val="000000"/>
          <w:lang w:eastAsia="ru-RU"/>
        </w:rPr>
        <w:t xml:space="preserve">обеспечение допуска на объект, в котором предоставляются услуги, собаки-проводника при наличии документа, подтверждающего ее специальное обучение, выданного по </w:t>
      </w:r>
      <w:hyperlink r:id="rId27" w:anchor="block_1000">
        <w:r w:rsidRPr="00447CEF">
          <w:rPr>
            <w:rFonts w:ascii="Times New Roman" w:eastAsia="Times New Roman" w:hAnsi="Times New Roman" w:cs="Times New Roman"/>
            <w:color w:val="000000"/>
            <w:lang w:eastAsia="ru-RU"/>
          </w:rPr>
          <w:t>форме</w:t>
        </w:r>
      </w:hyperlink>
      <w:r w:rsidRPr="00447CEF">
        <w:rPr>
          <w:rFonts w:ascii="Times New Roman" w:eastAsia="Times New Roman" w:hAnsi="Times New Roman" w:cs="Times New Roman"/>
          <w:color w:val="000000"/>
          <w:lang w:eastAsia="ru-RU"/>
        </w:rPr>
        <w:t xml:space="preserve"> и в </w:t>
      </w:r>
      <w:hyperlink r:id="rId28" w:anchor="block_2000">
        <w:r w:rsidRPr="00447CEF">
          <w:rPr>
            <w:rFonts w:ascii="Times New Roman" w:eastAsia="Times New Roman" w:hAnsi="Times New Roman" w:cs="Times New Roman"/>
            <w:color w:val="000000"/>
            <w:lang w:eastAsia="ru-RU"/>
          </w:rPr>
          <w:t>порядке</w:t>
        </w:r>
      </w:hyperlink>
      <w:r w:rsidRPr="00447CEF">
        <w:rPr>
          <w:rFonts w:ascii="Times New Roman" w:eastAsia="Times New Roman" w:hAnsi="Times New Roman" w:cs="Times New Roman"/>
          <w:color w:val="000000"/>
          <w:lang w:eastAsia="ru-RU"/>
        </w:rPr>
        <w:t xml:space="preserve">, утвержденных </w:t>
      </w:r>
      <w:hyperlink r:id="rId29">
        <w:r w:rsidRPr="00447CEF">
          <w:rPr>
            <w:rFonts w:ascii="Times New Roman" w:eastAsia="Times New Roman" w:hAnsi="Times New Roman" w:cs="Times New Roman"/>
            <w:color w:val="000000"/>
            <w:lang w:eastAsia="ru-RU"/>
          </w:rPr>
          <w:t>приказом</w:t>
        </w:r>
      </w:hyperlink>
      <w:r w:rsidRPr="00447CEF">
        <w:rPr>
          <w:rFonts w:ascii="Times New Roman" w:eastAsia="Times New Roman" w:hAnsi="Times New Roman" w:cs="Times New Roman"/>
          <w:color w:val="000000"/>
          <w:lang w:eastAsia="ru-RU"/>
        </w:rPr>
        <w:t xml:space="preserve"> Министерства труда и социальной защиты Российской Федерации от 22 июня 2015 года № 386 н (зарегистрирован Министерством юстиции Российской Федерации 21 июля 2015 года, регистрационный № 38115).</w:t>
      </w:r>
    </w:p>
    <w:p w:rsidR="00447CEF" w:rsidRPr="00447CEF" w:rsidRDefault="00447CEF" w:rsidP="009E7F81">
      <w:pPr>
        <w:numPr>
          <w:ilvl w:val="0"/>
          <w:numId w:val="10"/>
        </w:numPr>
        <w:spacing w:after="5" w:line="16" w:lineRule="atLeast"/>
        <w:ind w:left="0"/>
        <w:jc w:val="both"/>
        <w:rPr>
          <w:rFonts w:ascii="Times New Roman" w:eastAsia="Times New Roman" w:hAnsi="Times New Roman" w:cs="Times New Roman"/>
          <w:color w:val="000000"/>
          <w:lang w:eastAsia="ru-RU"/>
        </w:rPr>
      </w:pPr>
      <w:r w:rsidRPr="00447CEF">
        <w:rPr>
          <w:rFonts w:ascii="Times New Roman" w:eastAsia="Times New Roman" w:hAnsi="Times New Roman" w:cs="Times New Roman"/>
          <w:color w:val="000000"/>
          <w:lang w:eastAsia="ru-RU"/>
        </w:rPr>
        <w:t>В случае выбора Получателем способа получения Изделия по месту нахождения пункта (пунктов) приема передача Изделия Получателю осуществляется в день обращения Получателя в пункт(-ы) приема с направлением. На отрывном талоне направления Исполнитель в обязательном порядке проставляет дату обращения Получателя.</w:t>
      </w:r>
    </w:p>
    <w:p w:rsidR="00447CEF" w:rsidRPr="00447CEF" w:rsidRDefault="00447CEF" w:rsidP="009E7F81">
      <w:pPr>
        <w:spacing w:after="5" w:line="16" w:lineRule="atLeast"/>
        <w:jc w:val="both"/>
        <w:rPr>
          <w:rFonts w:ascii="Times New Roman" w:eastAsia="Times New Roman" w:hAnsi="Times New Roman" w:cs="Times New Roman"/>
          <w:color w:val="000000"/>
          <w:lang w:eastAsia="ru-RU"/>
        </w:rPr>
      </w:pPr>
      <w:r w:rsidRPr="00447CEF">
        <w:rPr>
          <w:rFonts w:ascii="Times New Roman" w:eastAsia="Times New Roman" w:hAnsi="Times New Roman" w:cs="Times New Roman"/>
          <w:color w:val="000000"/>
          <w:lang w:eastAsia="ru-RU"/>
        </w:rPr>
        <w:t xml:space="preserve">5.1. Передача Изделия Получателю должна производиться в каждом из пунктов приема не менее 5 (пяти) дней в неделю, не менее 40 (сорока) часов в неделю, при этом время работы должно быть в интервале с 08:00 час. до 22:00 час. </w:t>
      </w:r>
    </w:p>
    <w:p w:rsidR="00447CEF" w:rsidRPr="00447CEF" w:rsidRDefault="00447CEF" w:rsidP="009E7F81">
      <w:pPr>
        <w:numPr>
          <w:ilvl w:val="0"/>
          <w:numId w:val="10"/>
        </w:numPr>
        <w:spacing w:after="5" w:line="16" w:lineRule="atLeast"/>
        <w:ind w:left="0"/>
        <w:jc w:val="both"/>
        <w:rPr>
          <w:rFonts w:ascii="Times New Roman" w:eastAsia="Times New Roman" w:hAnsi="Times New Roman" w:cs="Times New Roman"/>
          <w:color w:val="000000"/>
          <w:lang w:eastAsia="ru-RU"/>
        </w:rPr>
      </w:pPr>
      <w:r w:rsidRPr="00447CEF">
        <w:rPr>
          <w:rFonts w:ascii="Times New Roman" w:eastAsia="Times New Roman" w:hAnsi="Times New Roman" w:cs="Times New Roman"/>
          <w:color w:val="000000"/>
          <w:lang w:eastAsia="ru-RU"/>
        </w:rPr>
        <w:t xml:space="preserve">В случае выбора Получателем способа получения Изделия путем передачи Изделия по месту нахождения Получателя такая доставка осуществляется Исполнителем в пределах административной границы субъекта не менее чем с 10:00 час. до 21:00 час. не менее 5 (пяти) дней в неделю по предварительной записи по телефону, предоставленному Заказчику, не позднее 1 (одного) рабочего дня с даты заключения </w:t>
      </w:r>
      <w:r w:rsidR="007852D5">
        <w:rPr>
          <w:rFonts w:ascii="Times New Roman" w:eastAsia="Times New Roman" w:hAnsi="Times New Roman" w:cs="Times New Roman"/>
          <w:color w:val="000000"/>
          <w:lang w:eastAsia="ru-RU"/>
        </w:rPr>
        <w:t xml:space="preserve">государственного </w:t>
      </w:r>
      <w:r w:rsidRPr="00447CEF">
        <w:rPr>
          <w:rFonts w:ascii="Times New Roman" w:eastAsia="Times New Roman" w:hAnsi="Times New Roman" w:cs="Times New Roman"/>
          <w:color w:val="000000"/>
          <w:lang w:eastAsia="ru-RU"/>
        </w:rPr>
        <w:t>контракта, и не позднее 09.01.2025. Доставка осуществляется за счет средств Исполнителя.</w:t>
      </w:r>
    </w:p>
    <w:p w:rsidR="00447CEF" w:rsidRPr="00447CEF" w:rsidRDefault="00447CEF" w:rsidP="009E7F81">
      <w:pPr>
        <w:spacing w:after="5" w:line="16" w:lineRule="atLeast"/>
        <w:jc w:val="both"/>
        <w:rPr>
          <w:rFonts w:ascii="Times New Roman" w:eastAsia="Times New Roman" w:hAnsi="Times New Roman" w:cs="Times New Roman"/>
          <w:color w:val="000000"/>
          <w:lang w:eastAsia="ru-RU"/>
        </w:rPr>
      </w:pPr>
      <w:r w:rsidRPr="00447CEF">
        <w:rPr>
          <w:rFonts w:ascii="Times New Roman" w:eastAsia="Times New Roman" w:hAnsi="Times New Roman" w:cs="Times New Roman"/>
          <w:color w:val="000000"/>
          <w:lang w:eastAsia="ru-RU"/>
        </w:rPr>
        <w:t>Исполнитель обязан информировать Заказчика о невозможности доставки Изделия Получателю не позднее рабочего дня, следующего за днем доставки, согласованным с Получателем.</w:t>
      </w:r>
    </w:p>
    <w:p w:rsidR="00447CEF" w:rsidRPr="00447CEF" w:rsidRDefault="00447CEF" w:rsidP="009E7F81">
      <w:pPr>
        <w:numPr>
          <w:ilvl w:val="0"/>
          <w:numId w:val="10"/>
        </w:numPr>
        <w:spacing w:after="5" w:line="16" w:lineRule="atLeast"/>
        <w:ind w:left="0"/>
        <w:jc w:val="both"/>
        <w:rPr>
          <w:rFonts w:ascii="Times New Roman" w:eastAsia="Times New Roman" w:hAnsi="Times New Roman" w:cs="Times New Roman"/>
          <w:color w:val="000000"/>
          <w:lang w:eastAsia="ru-RU"/>
        </w:rPr>
      </w:pPr>
      <w:r w:rsidRPr="00447CEF">
        <w:rPr>
          <w:rFonts w:ascii="Times New Roman" w:eastAsia="Times New Roman" w:hAnsi="Times New Roman" w:cs="Times New Roman"/>
          <w:color w:val="000000"/>
          <w:lang w:eastAsia="ru-RU"/>
        </w:rPr>
        <w:t xml:space="preserve">С целью подтверждения соответствия Изделия по количеству, комплектности, ассортименту и качеству требованиям, установленным техническим заданием, Заказчик по своему усмотрению производит сплошную и/или выборочную проверку Изделия и соответствия пункта (пунктов) приема требованиям технического задания. При проведении проверки Заказчик вправе осуществлять </w:t>
      </w:r>
      <w:proofErr w:type="spellStart"/>
      <w:r w:rsidRPr="00447CEF">
        <w:rPr>
          <w:rFonts w:ascii="Times New Roman" w:eastAsia="Times New Roman" w:hAnsi="Times New Roman" w:cs="Times New Roman"/>
          <w:color w:val="000000"/>
          <w:lang w:eastAsia="ru-RU"/>
        </w:rPr>
        <w:t>фотофиксацию</w:t>
      </w:r>
      <w:proofErr w:type="spellEnd"/>
      <w:r w:rsidRPr="00447CEF">
        <w:rPr>
          <w:rFonts w:ascii="Times New Roman" w:eastAsia="Times New Roman" w:hAnsi="Times New Roman" w:cs="Times New Roman"/>
          <w:color w:val="000000"/>
          <w:lang w:eastAsia="ru-RU"/>
        </w:rPr>
        <w:t xml:space="preserve"> и/или видеозапись.</w:t>
      </w:r>
    </w:p>
    <w:p w:rsidR="00447CEF" w:rsidRPr="00447CEF" w:rsidRDefault="00447CEF" w:rsidP="009E7F81">
      <w:pPr>
        <w:numPr>
          <w:ilvl w:val="0"/>
          <w:numId w:val="10"/>
        </w:numPr>
        <w:spacing w:after="5" w:line="16" w:lineRule="atLeast"/>
        <w:ind w:left="0"/>
        <w:jc w:val="both"/>
        <w:rPr>
          <w:rFonts w:ascii="Times New Roman" w:eastAsia="Times New Roman" w:hAnsi="Times New Roman" w:cs="Times New Roman"/>
          <w:color w:val="000000"/>
          <w:lang w:eastAsia="ru-RU"/>
        </w:rPr>
      </w:pPr>
      <w:r w:rsidRPr="00447CEF">
        <w:rPr>
          <w:rFonts w:ascii="Times New Roman" w:eastAsia="Times New Roman" w:hAnsi="Times New Roman" w:cs="Times New Roman"/>
          <w:color w:val="000000"/>
          <w:lang w:eastAsia="ru-RU"/>
        </w:rPr>
        <w:lastRenderedPageBreak/>
        <w:t xml:space="preserve">В случаях отказа от Изделия Получателя Исполнитель обязан предоставить письменный отказ Получателя либо акт телефонного разговора. Информация предоставляется на бумажном носителе сопроводительным письмом с приложением и в электронном виде по адресу </w:t>
      </w:r>
      <w:r w:rsidRPr="00447CEF">
        <w:rPr>
          <w:rFonts w:ascii="Times New Roman" w:eastAsia="Times New Roman" w:hAnsi="Times New Roman" w:cs="Times New Roman"/>
          <w:color w:val="000000"/>
          <w:u w:val="single" w:color="000000"/>
          <w:lang w:eastAsia="ru-RU"/>
        </w:rPr>
        <w:t>vred@78.sfr.gov.ru.</w:t>
      </w:r>
    </w:p>
    <w:p w:rsidR="00304BB6" w:rsidRDefault="0087151F" w:rsidP="00B866AB">
      <w:pPr>
        <w:ind w:left="142"/>
      </w:pPr>
    </w:p>
    <w:sectPr w:rsidR="00304BB6" w:rsidSect="001613C1">
      <w:footnotePr>
        <w:numFmt w:val="chicago"/>
      </w:footnotePr>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E087C3F"/>
    <w:multiLevelType w:val="hybridMultilevel"/>
    <w:tmpl w:val="946C7EA6"/>
    <w:lvl w:ilvl="0" w:tplc="16AC422E">
      <w:start w:val="1"/>
      <w:numFmt w:val="bullet"/>
      <w:lvlText w:val="-"/>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70037C8">
      <w:start w:val="1"/>
      <w:numFmt w:val="bullet"/>
      <w:lvlText w:val="o"/>
      <w:lvlJc w:val="left"/>
      <w:pPr>
        <w:ind w:left="25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D588AE0">
      <w:start w:val="1"/>
      <w:numFmt w:val="bullet"/>
      <w:lvlText w:val="▪"/>
      <w:lvlJc w:val="left"/>
      <w:pPr>
        <w:ind w:left="32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090F82E">
      <w:start w:val="1"/>
      <w:numFmt w:val="bullet"/>
      <w:lvlText w:val="•"/>
      <w:lvlJc w:val="left"/>
      <w:pPr>
        <w:ind w:left="39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DAAA184">
      <w:start w:val="1"/>
      <w:numFmt w:val="bullet"/>
      <w:lvlText w:val="o"/>
      <w:lvlJc w:val="left"/>
      <w:pPr>
        <w:ind w:left="46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6F07376">
      <w:start w:val="1"/>
      <w:numFmt w:val="bullet"/>
      <w:lvlText w:val="▪"/>
      <w:lvlJc w:val="left"/>
      <w:pPr>
        <w:ind w:left="53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EBC8608">
      <w:start w:val="1"/>
      <w:numFmt w:val="bullet"/>
      <w:lvlText w:val="•"/>
      <w:lvlJc w:val="left"/>
      <w:pPr>
        <w:ind w:left="61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86AA21C">
      <w:start w:val="1"/>
      <w:numFmt w:val="bullet"/>
      <w:lvlText w:val="o"/>
      <w:lvlJc w:val="left"/>
      <w:pPr>
        <w:ind w:left="68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0426FEE">
      <w:start w:val="1"/>
      <w:numFmt w:val="bullet"/>
      <w:lvlText w:val="▪"/>
      <w:lvlJc w:val="left"/>
      <w:pPr>
        <w:ind w:left="75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nsid w:val="1496724E"/>
    <w:multiLevelType w:val="hybridMultilevel"/>
    <w:tmpl w:val="D6EA891E"/>
    <w:lvl w:ilvl="0" w:tplc="D3785BB0">
      <w:start w:val="1"/>
      <w:numFmt w:val="decimal"/>
      <w:lvlText w:val="%1."/>
      <w:lvlJc w:val="left"/>
      <w:pPr>
        <w:ind w:left="7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A20ECA0">
      <w:start w:val="1"/>
      <w:numFmt w:val="lowerLetter"/>
      <w:lvlText w:val="%2"/>
      <w:lvlJc w:val="left"/>
      <w:pPr>
        <w:ind w:left="17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7CEB666">
      <w:start w:val="1"/>
      <w:numFmt w:val="lowerRoman"/>
      <w:lvlText w:val="%3"/>
      <w:lvlJc w:val="left"/>
      <w:pPr>
        <w:ind w:left="25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42E5558">
      <w:start w:val="1"/>
      <w:numFmt w:val="decimal"/>
      <w:lvlText w:val="%4"/>
      <w:lvlJc w:val="left"/>
      <w:pPr>
        <w:ind w:left="32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98A271E">
      <w:start w:val="1"/>
      <w:numFmt w:val="lowerLetter"/>
      <w:lvlText w:val="%5"/>
      <w:lvlJc w:val="left"/>
      <w:pPr>
        <w:ind w:left="39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76EEB26">
      <w:start w:val="1"/>
      <w:numFmt w:val="lowerRoman"/>
      <w:lvlText w:val="%6"/>
      <w:lvlJc w:val="left"/>
      <w:pPr>
        <w:ind w:left="46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86479BE">
      <w:start w:val="1"/>
      <w:numFmt w:val="decimal"/>
      <w:lvlText w:val="%7"/>
      <w:lvlJc w:val="left"/>
      <w:pPr>
        <w:ind w:left="53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B4EBAE6">
      <w:start w:val="1"/>
      <w:numFmt w:val="lowerLetter"/>
      <w:lvlText w:val="%8"/>
      <w:lvlJc w:val="left"/>
      <w:pPr>
        <w:ind w:left="61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A18331E">
      <w:start w:val="1"/>
      <w:numFmt w:val="lowerRoman"/>
      <w:lvlText w:val="%9"/>
      <w:lvlJc w:val="left"/>
      <w:pPr>
        <w:ind w:left="68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nsid w:val="1CC90CC3"/>
    <w:multiLevelType w:val="multilevel"/>
    <w:tmpl w:val="9032540E"/>
    <w:lvl w:ilvl="0">
      <w:start w:val="3"/>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3"/>
      <w:numFmt w:val="decimal"/>
      <w:lvlRestart w:val="0"/>
      <w:lvlText w:val="%1.%2."/>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7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5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2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9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6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3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1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nsid w:val="1CD254AA"/>
    <w:multiLevelType w:val="multilevel"/>
    <w:tmpl w:val="863C3844"/>
    <w:lvl w:ilvl="0">
      <w:start w:val="2"/>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2"/>
      <w:numFmt w:val="decimal"/>
      <w:lvlRestart w:val="0"/>
      <w:lvlText w:val="%1.%2."/>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7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5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2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9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6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3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1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nsid w:val="34CA5B9F"/>
    <w:multiLevelType w:val="hybridMultilevel"/>
    <w:tmpl w:val="4022E008"/>
    <w:lvl w:ilvl="0" w:tplc="4790EF62">
      <w:start w:val="5"/>
      <w:numFmt w:val="decimal"/>
      <w:lvlText w:val="%1."/>
      <w:lvlJc w:val="left"/>
      <w:pPr>
        <w:ind w:left="1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A78E3E8">
      <w:start w:val="1"/>
      <w:numFmt w:val="lowerLetter"/>
      <w:lvlText w:val="%2"/>
      <w:lvlJc w:val="left"/>
      <w:pPr>
        <w:ind w:left="17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CA2CAB4">
      <w:start w:val="1"/>
      <w:numFmt w:val="lowerRoman"/>
      <w:lvlText w:val="%3"/>
      <w:lvlJc w:val="left"/>
      <w:pPr>
        <w:ind w:left="25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A4ABDFC">
      <w:start w:val="1"/>
      <w:numFmt w:val="decimal"/>
      <w:lvlText w:val="%4"/>
      <w:lvlJc w:val="left"/>
      <w:pPr>
        <w:ind w:left="32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BC2FFF8">
      <w:start w:val="1"/>
      <w:numFmt w:val="lowerLetter"/>
      <w:lvlText w:val="%5"/>
      <w:lvlJc w:val="left"/>
      <w:pPr>
        <w:ind w:left="39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A3A6C1E">
      <w:start w:val="1"/>
      <w:numFmt w:val="lowerRoman"/>
      <w:lvlText w:val="%6"/>
      <w:lvlJc w:val="left"/>
      <w:pPr>
        <w:ind w:left="46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D2A02EC">
      <w:start w:val="1"/>
      <w:numFmt w:val="decimal"/>
      <w:lvlText w:val="%7"/>
      <w:lvlJc w:val="left"/>
      <w:pPr>
        <w:ind w:left="53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F3CE650">
      <w:start w:val="1"/>
      <w:numFmt w:val="lowerLetter"/>
      <w:lvlText w:val="%8"/>
      <w:lvlJc w:val="left"/>
      <w:pPr>
        <w:ind w:left="61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E1A26D8">
      <w:start w:val="1"/>
      <w:numFmt w:val="lowerRoman"/>
      <w:lvlText w:val="%9"/>
      <w:lvlJc w:val="left"/>
      <w:pPr>
        <w:ind w:left="68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nsid w:val="3913512F"/>
    <w:multiLevelType w:val="multilevel"/>
    <w:tmpl w:val="7A905AF8"/>
    <w:lvl w:ilvl="0">
      <w:start w:val="2"/>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7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10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7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3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nsid w:val="47BC3191"/>
    <w:multiLevelType w:val="hybridMultilevel"/>
    <w:tmpl w:val="792E565C"/>
    <w:lvl w:ilvl="0" w:tplc="873C6C4E">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820B3CA">
      <w:start w:val="1"/>
      <w:numFmt w:val="bullet"/>
      <w:lvlText w:val="o"/>
      <w:lvlJc w:val="left"/>
      <w:pPr>
        <w:ind w:left="17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06EC2DC">
      <w:start w:val="1"/>
      <w:numFmt w:val="bullet"/>
      <w:lvlText w:val="▪"/>
      <w:lvlJc w:val="left"/>
      <w:pPr>
        <w:ind w:left="25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85E4334">
      <w:start w:val="1"/>
      <w:numFmt w:val="bullet"/>
      <w:lvlText w:val="•"/>
      <w:lvlJc w:val="left"/>
      <w:pPr>
        <w:ind w:left="32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34CE2F6">
      <w:start w:val="1"/>
      <w:numFmt w:val="bullet"/>
      <w:lvlText w:val="o"/>
      <w:lvlJc w:val="left"/>
      <w:pPr>
        <w:ind w:left="39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3AE4766">
      <w:start w:val="1"/>
      <w:numFmt w:val="bullet"/>
      <w:lvlText w:val="▪"/>
      <w:lvlJc w:val="left"/>
      <w:pPr>
        <w:ind w:left="46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ED86AF0">
      <w:start w:val="1"/>
      <w:numFmt w:val="bullet"/>
      <w:lvlText w:val="•"/>
      <w:lvlJc w:val="left"/>
      <w:pPr>
        <w:ind w:left="53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2C05FD8">
      <w:start w:val="1"/>
      <w:numFmt w:val="bullet"/>
      <w:lvlText w:val="o"/>
      <w:lvlJc w:val="left"/>
      <w:pPr>
        <w:ind w:left="61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FD87E08">
      <w:start w:val="1"/>
      <w:numFmt w:val="bullet"/>
      <w:lvlText w:val="▪"/>
      <w:lvlJc w:val="left"/>
      <w:pPr>
        <w:ind w:left="68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nsid w:val="4EE9170A"/>
    <w:multiLevelType w:val="multilevel"/>
    <w:tmpl w:val="25FA689A"/>
    <w:lvl w:ilvl="0">
      <w:start w:val="4"/>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4"/>
      <w:numFmt w:val="decimal"/>
      <w:lvlRestart w:val="0"/>
      <w:lvlText w:val="%1.%2."/>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7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5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2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9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6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3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1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nsid w:val="508B2F0B"/>
    <w:multiLevelType w:val="hybridMultilevel"/>
    <w:tmpl w:val="07CEAFDE"/>
    <w:lvl w:ilvl="0" w:tplc="743A4E88">
      <w:start w:val="4"/>
      <w:numFmt w:val="decimal"/>
      <w:lvlText w:val="%1."/>
      <w:lvlJc w:val="left"/>
      <w:pPr>
        <w:ind w:left="9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ADE8B3E">
      <w:start w:val="1"/>
      <w:numFmt w:val="lowerLetter"/>
      <w:lvlText w:val="%2"/>
      <w:lvlJc w:val="left"/>
      <w:pPr>
        <w:ind w:left="17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3407536">
      <w:start w:val="1"/>
      <w:numFmt w:val="lowerRoman"/>
      <w:lvlText w:val="%3"/>
      <w:lvlJc w:val="left"/>
      <w:pPr>
        <w:ind w:left="25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B2CC208">
      <w:start w:val="1"/>
      <w:numFmt w:val="decimal"/>
      <w:lvlText w:val="%4"/>
      <w:lvlJc w:val="left"/>
      <w:pPr>
        <w:ind w:left="32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198A542">
      <w:start w:val="1"/>
      <w:numFmt w:val="lowerLetter"/>
      <w:lvlText w:val="%5"/>
      <w:lvlJc w:val="left"/>
      <w:pPr>
        <w:ind w:left="39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A3C5B96">
      <w:start w:val="1"/>
      <w:numFmt w:val="lowerRoman"/>
      <w:lvlText w:val="%6"/>
      <w:lvlJc w:val="left"/>
      <w:pPr>
        <w:ind w:left="46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0BA471C">
      <w:start w:val="1"/>
      <w:numFmt w:val="decimal"/>
      <w:lvlText w:val="%7"/>
      <w:lvlJc w:val="left"/>
      <w:pPr>
        <w:ind w:left="53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040291E">
      <w:start w:val="1"/>
      <w:numFmt w:val="lowerLetter"/>
      <w:lvlText w:val="%8"/>
      <w:lvlJc w:val="left"/>
      <w:pPr>
        <w:ind w:left="61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0340804">
      <w:start w:val="1"/>
      <w:numFmt w:val="lowerRoman"/>
      <w:lvlText w:val="%9"/>
      <w:lvlJc w:val="left"/>
      <w:pPr>
        <w:ind w:left="68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nsid w:val="7E380541"/>
    <w:multiLevelType w:val="hybridMultilevel"/>
    <w:tmpl w:val="712C143E"/>
    <w:lvl w:ilvl="0" w:tplc="ECE48C30">
      <w:start w:val="1"/>
      <w:numFmt w:val="bullet"/>
      <w:lvlText w:val="-"/>
      <w:lvlJc w:val="left"/>
      <w:pPr>
        <w:ind w:left="1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00CDF82">
      <w:start w:val="1"/>
      <w:numFmt w:val="bullet"/>
      <w:lvlText w:val="o"/>
      <w:lvlJc w:val="left"/>
      <w:pPr>
        <w:ind w:left="18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F64629E">
      <w:start w:val="1"/>
      <w:numFmt w:val="bullet"/>
      <w:lvlText w:val="▪"/>
      <w:lvlJc w:val="left"/>
      <w:pPr>
        <w:ind w:left="25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D0AB444">
      <w:start w:val="1"/>
      <w:numFmt w:val="bullet"/>
      <w:lvlText w:val="•"/>
      <w:lvlJc w:val="left"/>
      <w:pPr>
        <w:ind w:left="32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AE2B55C">
      <w:start w:val="1"/>
      <w:numFmt w:val="bullet"/>
      <w:lvlText w:val="o"/>
      <w:lvlJc w:val="left"/>
      <w:pPr>
        <w:ind w:left="39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8240032">
      <w:start w:val="1"/>
      <w:numFmt w:val="bullet"/>
      <w:lvlText w:val="▪"/>
      <w:lvlJc w:val="left"/>
      <w:pPr>
        <w:ind w:left="47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8E4FBEA">
      <w:start w:val="1"/>
      <w:numFmt w:val="bullet"/>
      <w:lvlText w:val="•"/>
      <w:lvlJc w:val="left"/>
      <w:pPr>
        <w:ind w:left="54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AF8DEE2">
      <w:start w:val="1"/>
      <w:numFmt w:val="bullet"/>
      <w:lvlText w:val="o"/>
      <w:lvlJc w:val="left"/>
      <w:pPr>
        <w:ind w:left="61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024BB50">
      <w:start w:val="1"/>
      <w:numFmt w:val="bullet"/>
      <w:lvlText w:val="▪"/>
      <w:lvlJc w:val="left"/>
      <w:pPr>
        <w:ind w:left="68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2"/>
  </w:num>
  <w:num w:numId="2">
    <w:abstractNumId w:val="7"/>
  </w:num>
  <w:num w:numId="3">
    <w:abstractNumId w:val="6"/>
  </w:num>
  <w:num w:numId="4">
    <w:abstractNumId w:val="4"/>
  </w:num>
  <w:num w:numId="5">
    <w:abstractNumId w:val="3"/>
  </w:num>
  <w:num w:numId="6">
    <w:abstractNumId w:val="1"/>
  </w:num>
  <w:num w:numId="7">
    <w:abstractNumId w:val="9"/>
  </w:num>
  <w:num w:numId="8">
    <w:abstractNumId w:val="10"/>
  </w:num>
  <w:num w:numId="9">
    <w:abstractNumId w:val="8"/>
  </w:num>
  <w:num w:numId="10">
    <w:abstractNumId w:val="5"/>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numFmt w:val="chicago"/>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CEF"/>
    <w:rsid w:val="000C7C96"/>
    <w:rsid w:val="00214BE3"/>
    <w:rsid w:val="00256011"/>
    <w:rsid w:val="00447CEF"/>
    <w:rsid w:val="007852D5"/>
    <w:rsid w:val="0087151F"/>
    <w:rsid w:val="008E0768"/>
    <w:rsid w:val="009B2531"/>
    <w:rsid w:val="009E7F81"/>
    <w:rsid w:val="00A2661A"/>
    <w:rsid w:val="00A64DEB"/>
    <w:rsid w:val="00B407E6"/>
    <w:rsid w:val="00B55CF8"/>
    <w:rsid w:val="00B866AB"/>
    <w:rsid w:val="00DE63BD"/>
    <w:rsid w:val="00E30DC0"/>
    <w:rsid w:val="00E75A22"/>
    <w:rsid w:val="00F73E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71CEFE-7BE7-4280-A4C0-4686F6BE3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2">
    <w:name w:val="TableGrid2"/>
    <w:rsid w:val="00447CEF"/>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paragraph" w:styleId="a3">
    <w:name w:val="List Paragraph"/>
    <w:basedOn w:val="a"/>
    <w:uiPriority w:val="34"/>
    <w:qFormat/>
    <w:rsid w:val="00F73E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542620598" TargetMode="External"/><Relationship Id="rId13" Type="http://schemas.openxmlformats.org/officeDocument/2006/relationships/hyperlink" Target="http://docs.cntd.ru/document/542620598" TargetMode="External"/><Relationship Id="rId18" Type="http://schemas.openxmlformats.org/officeDocument/2006/relationships/hyperlink" Target="http://docs.cntd.ru/document/542620598" TargetMode="External"/><Relationship Id="rId26" Type="http://schemas.openxmlformats.org/officeDocument/2006/relationships/hyperlink" Target="http://docs.cntd.ru/document/542620598" TargetMode="External"/><Relationship Id="rId3" Type="http://schemas.openxmlformats.org/officeDocument/2006/relationships/settings" Target="settings.xml"/><Relationship Id="rId21" Type="http://schemas.openxmlformats.org/officeDocument/2006/relationships/hyperlink" Target="http://docs.cntd.ru/document/542620598" TargetMode="External"/><Relationship Id="rId7" Type="http://schemas.openxmlformats.org/officeDocument/2006/relationships/hyperlink" Target="http://docs.cntd.ru/document/542620598" TargetMode="External"/><Relationship Id="rId12" Type="http://schemas.openxmlformats.org/officeDocument/2006/relationships/hyperlink" Target="http://docs.cntd.ru/document/542620598" TargetMode="External"/><Relationship Id="rId17" Type="http://schemas.openxmlformats.org/officeDocument/2006/relationships/hyperlink" Target="http://docs.cntd.ru/document/542620598" TargetMode="External"/><Relationship Id="rId25" Type="http://schemas.openxmlformats.org/officeDocument/2006/relationships/hyperlink" Target="http://docs.cntd.ru/document/542620598" TargetMode="External"/><Relationship Id="rId2" Type="http://schemas.openxmlformats.org/officeDocument/2006/relationships/styles" Target="styles.xml"/><Relationship Id="rId16" Type="http://schemas.openxmlformats.org/officeDocument/2006/relationships/hyperlink" Target="http://docs.cntd.ru/document/542620598" TargetMode="External"/><Relationship Id="rId20" Type="http://schemas.openxmlformats.org/officeDocument/2006/relationships/hyperlink" Target="http://docs.cntd.ru/document/542620598" TargetMode="External"/><Relationship Id="rId29" Type="http://schemas.openxmlformats.org/officeDocument/2006/relationships/hyperlink" Target="http://base.garant.ru/71145140/" TargetMode="External"/><Relationship Id="rId1" Type="http://schemas.openxmlformats.org/officeDocument/2006/relationships/numbering" Target="numbering.xml"/><Relationship Id="rId6" Type="http://schemas.openxmlformats.org/officeDocument/2006/relationships/hyperlink" Target="http://docs.cntd.ru/document/542620598" TargetMode="External"/><Relationship Id="rId11" Type="http://schemas.openxmlformats.org/officeDocument/2006/relationships/hyperlink" Target="http://docs.cntd.ru/document/542620598" TargetMode="External"/><Relationship Id="rId24" Type="http://schemas.openxmlformats.org/officeDocument/2006/relationships/hyperlink" Target="http://docs.cntd.ru/document/542620598" TargetMode="External"/><Relationship Id="rId5" Type="http://schemas.openxmlformats.org/officeDocument/2006/relationships/hyperlink" Target="http://docs.cntd.ru/document/542620598" TargetMode="External"/><Relationship Id="rId15" Type="http://schemas.openxmlformats.org/officeDocument/2006/relationships/hyperlink" Target="http://docs.cntd.ru/document/542620598" TargetMode="External"/><Relationship Id="rId23" Type="http://schemas.openxmlformats.org/officeDocument/2006/relationships/hyperlink" Target="http://docs.cntd.ru/document/542620598" TargetMode="External"/><Relationship Id="rId28" Type="http://schemas.openxmlformats.org/officeDocument/2006/relationships/hyperlink" Target="http://base.garant.ru/71145140/f7ee959fd36b5699076b35abf4f52c5c/" TargetMode="External"/><Relationship Id="rId10" Type="http://schemas.openxmlformats.org/officeDocument/2006/relationships/hyperlink" Target="http://docs.cntd.ru/document/542620598" TargetMode="External"/><Relationship Id="rId19" Type="http://schemas.openxmlformats.org/officeDocument/2006/relationships/hyperlink" Target="http://docs.cntd.ru/document/542620598"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docs.cntd.ru/document/542620598" TargetMode="External"/><Relationship Id="rId14" Type="http://schemas.openxmlformats.org/officeDocument/2006/relationships/hyperlink" Target="http://docs.cntd.ru/document/542620598" TargetMode="External"/><Relationship Id="rId22" Type="http://schemas.openxmlformats.org/officeDocument/2006/relationships/hyperlink" Target="http://docs.cntd.ru/document/542620598" TargetMode="External"/><Relationship Id="rId27" Type="http://schemas.openxmlformats.org/officeDocument/2006/relationships/hyperlink" Target="http://base.garant.ru/71145140/53f89421bbdaf741eb2d1ecc4ddb4c33/"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9</Pages>
  <Words>5268</Words>
  <Characters>30028</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Иванова Наталья Александровна</dc:creator>
  <cp:keywords/>
  <dc:description/>
  <cp:lastModifiedBy>Иванова Наталья Александровна</cp:lastModifiedBy>
  <cp:revision>15</cp:revision>
  <dcterms:created xsi:type="dcterms:W3CDTF">2024-11-19T14:01:00Z</dcterms:created>
  <dcterms:modified xsi:type="dcterms:W3CDTF">2024-12-04T15:13:00Z</dcterms:modified>
</cp:coreProperties>
</file>