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AB416" w14:textId="77777777"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14:paraId="7CDB6A48" w14:textId="77777777"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14:paraId="08895880" w14:textId="77777777"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14:paraId="1814E238" w14:textId="77777777"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14:paraId="74374F43" w14:textId="77777777"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14:paraId="08E8C424" w14:textId="77777777" w:rsidR="005B5CEC" w:rsidRPr="00223D06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14:paraId="64B943DC" w14:textId="77777777"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14:paraId="24E0830D" w14:textId="678FFECE" w:rsidR="00C77A3D" w:rsidRDefault="00902BC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</w:t>
      </w:r>
      <w:r w:rsidR="00D344AC" w:rsidRPr="00D344AC">
        <w:rPr>
          <w:rFonts w:ascii="Times New Roman" w:hAnsi="Times New Roman" w:cs="Times New Roman"/>
          <w:b/>
          <w:sz w:val="24"/>
          <w:szCs w:val="28"/>
        </w:rPr>
        <w:t>а</w:t>
      </w:r>
      <w:r w:rsidR="00FC493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B6421" w:rsidRPr="005B6421">
        <w:rPr>
          <w:rFonts w:ascii="Times New Roman" w:hAnsi="Times New Roman" w:cs="Times New Roman"/>
          <w:b/>
          <w:sz w:val="24"/>
          <w:szCs w:val="28"/>
        </w:rPr>
        <w:t>выполнение работ по изготовлению в 2025 году протезов нижних конечностей</w:t>
      </w:r>
    </w:p>
    <w:p w14:paraId="1A2F0A8E" w14:textId="77777777" w:rsidR="005B6421" w:rsidRDefault="005B6421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41052DA" w14:textId="77777777" w:rsidR="00C77A3D" w:rsidRPr="00C77A3D" w:rsidRDefault="00C77A3D" w:rsidP="00C77A3D">
      <w:pPr>
        <w:jc w:val="center"/>
        <w:rPr>
          <w:rFonts w:ascii="Times New Roman" w:hAnsi="Times New Roman" w:cs="Times New Roman"/>
          <w:b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 Общие положения</w:t>
      </w:r>
    </w:p>
    <w:p w14:paraId="114759D4" w14:textId="77777777" w:rsidR="00C77A3D" w:rsidRPr="00C77A3D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 xml:space="preserve">1.1. Заказчик: </w:t>
      </w:r>
      <w:r w:rsidRPr="00C77A3D"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14:paraId="794DCB51" w14:textId="77777777" w:rsidR="00C77A3D" w:rsidRPr="00C77A3D" w:rsidRDefault="00C77A3D" w:rsidP="00C77A3D">
      <w:pPr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1.2. Исполнитель</w:t>
      </w:r>
      <w:r w:rsidRPr="00C77A3D">
        <w:rPr>
          <w:rFonts w:ascii="Times New Roman" w:hAnsi="Times New Roman" w:cs="Times New Roman"/>
          <w:sz w:val="24"/>
        </w:rPr>
        <w:t>: участник закупки, с которым заключается контракт.</w:t>
      </w:r>
    </w:p>
    <w:p w14:paraId="387DD032" w14:textId="09E084AF" w:rsidR="00C77A3D" w:rsidRDefault="00C77A3D" w:rsidP="00C77A3D">
      <w:pPr>
        <w:jc w:val="both"/>
        <w:rPr>
          <w:rFonts w:ascii="Times New Roman" w:hAnsi="Times New Roman" w:cs="Times New Roman"/>
          <w:sz w:val="24"/>
        </w:rPr>
      </w:pPr>
      <w:r w:rsidRPr="00C77A3D">
        <w:rPr>
          <w:rFonts w:ascii="Times New Roman" w:hAnsi="Times New Roman" w:cs="Times New Roman"/>
          <w:b/>
          <w:sz w:val="24"/>
        </w:rPr>
        <w:t>1.</w:t>
      </w:r>
      <w:r w:rsidR="00453A6E">
        <w:rPr>
          <w:rFonts w:ascii="Times New Roman" w:hAnsi="Times New Roman" w:cs="Times New Roman"/>
          <w:b/>
          <w:sz w:val="24"/>
        </w:rPr>
        <w:t>3</w:t>
      </w:r>
      <w:r w:rsidRPr="00C77A3D">
        <w:rPr>
          <w:rFonts w:ascii="Times New Roman" w:hAnsi="Times New Roman" w:cs="Times New Roman"/>
          <w:b/>
          <w:sz w:val="24"/>
        </w:rPr>
        <w:t>.</w:t>
      </w:r>
      <w:r w:rsidRPr="00C77A3D">
        <w:rPr>
          <w:rFonts w:ascii="Times New Roman" w:hAnsi="Times New Roman" w:cs="Times New Roman"/>
          <w:sz w:val="24"/>
        </w:rPr>
        <w:t xml:space="preserve"> </w:t>
      </w:r>
      <w:r w:rsidRPr="00C77A3D">
        <w:rPr>
          <w:rFonts w:ascii="Times New Roman" w:hAnsi="Times New Roman" w:cs="Times New Roman"/>
          <w:b/>
          <w:sz w:val="24"/>
        </w:rPr>
        <w:t>Получател</w:t>
      </w:r>
      <w:r>
        <w:rPr>
          <w:rFonts w:ascii="Times New Roman" w:hAnsi="Times New Roman" w:cs="Times New Roman"/>
          <w:b/>
          <w:sz w:val="24"/>
        </w:rPr>
        <w:t>ь</w:t>
      </w:r>
      <w:r w:rsidRPr="00C77A3D">
        <w:rPr>
          <w:rFonts w:ascii="Times New Roman" w:hAnsi="Times New Roman" w:cs="Times New Roman"/>
          <w:sz w:val="24"/>
        </w:rPr>
        <w:t>: застрахованно</w:t>
      </w:r>
      <w:r>
        <w:rPr>
          <w:rFonts w:ascii="Times New Roman" w:hAnsi="Times New Roman" w:cs="Times New Roman"/>
          <w:sz w:val="24"/>
        </w:rPr>
        <w:t>е</w:t>
      </w:r>
      <w:r w:rsidRPr="00C77A3D">
        <w:rPr>
          <w:rFonts w:ascii="Times New Roman" w:hAnsi="Times New Roman" w:cs="Times New Roman"/>
          <w:sz w:val="24"/>
        </w:rPr>
        <w:t xml:space="preserve"> лиц</w:t>
      </w:r>
      <w:r>
        <w:rPr>
          <w:rFonts w:ascii="Times New Roman" w:hAnsi="Times New Roman" w:cs="Times New Roman"/>
          <w:sz w:val="24"/>
        </w:rPr>
        <w:t>о</w:t>
      </w:r>
      <w:r w:rsidRPr="00C77A3D">
        <w:rPr>
          <w:rFonts w:ascii="Times New Roman" w:hAnsi="Times New Roman" w:cs="Times New Roman"/>
          <w:sz w:val="24"/>
        </w:rPr>
        <w:t>, получивше</w:t>
      </w:r>
      <w:r>
        <w:rPr>
          <w:rFonts w:ascii="Times New Roman" w:hAnsi="Times New Roman" w:cs="Times New Roman"/>
          <w:sz w:val="24"/>
        </w:rPr>
        <w:t>е</w:t>
      </w:r>
      <w:r w:rsidRPr="00C77A3D">
        <w:rPr>
          <w:rFonts w:ascii="Times New Roman" w:hAnsi="Times New Roman" w:cs="Times New Roman"/>
          <w:sz w:val="24"/>
        </w:rPr>
        <w:t xml:space="preserve"> повреждение здоровья вследствие несчастного случая на производстве</w:t>
      </w:r>
      <w:r w:rsidR="00316A9F">
        <w:rPr>
          <w:rFonts w:ascii="Times New Roman" w:hAnsi="Times New Roman" w:cs="Times New Roman"/>
          <w:sz w:val="24"/>
        </w:rPr>
        <w:t xml:space="preserve"> и </w:t>
      </w:r>
      <w:r w:rsidR="00F47BF3" w:rsidRPr="00F47BF3">
        <w:rPr>
          <w:rFonts w:ascii="Times New Roman" w:hAnsi="Times New Roman" w:cs="Times New Roman"/>
          <w:sz w:val="24"/>
        </w:rPr>
        <w:t>профессионального заболевания</w:t>
      </w:r>
      <w:r w:rsidRPr="00C77A3D">
        <w:rPr>
          <w:rFonts w:ascii="Times New Roman" w:hAnsi="Times New Roman" w:cs="Times New Roman"/>
          <w:sz w:val="24"/>
        </w:rPr>
        <w:t>.</w:t>
      </w:r>
    </w:p>
    <w:p w14:paraId="4DA8EC0C" w14:textId="47AB6F96" w:rsidR="00C77A3D" w:rsidRPr="006122D6" w:rsidRDefault="00C77A3D" w:rsidP="00C77A3D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902BCC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14:paraId="6474790D" w14:textId="2EB60679" w:rsidR="00C77A3D" w:rsidRDefault="00C77A3D" w:rsidP="00C77A3D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пункте, организованном Исполнителем </w:t>
      </w:r>
      <w:r>
        <w:rPr>
          <w:rFonts w:ascii="Times New Roman" w:hAnsi="Times New Roman" w:cs="Times New Roman"/>
          <w:sz w:val="24"/>
        </w:rPr>
        <w:t xml:space="preserve">в г. </w:t>
      </w:r>
      <w:r w:rsidR="00C43AAF">
        <w:rPr>
          <w:rFonts w:ascii="Times New Roman" w:hAnsi="Times New Roman" w:cs="Times New Roman"/>
          <w:sz w:val="24"/>
        </w:rPr>
        <w:t>Хабаровск Хабаровского края</w:t>
      </w:r>
      <w:r>
        <w:rPr>
          <w:rFonts w:ascii="Times New Roman" w:hAnsi="Times New Roman" w:cs="Times New Roman"/>
          <w:sz w:val="24"/>
        </w:rPr>
        <w:t xml:space="preserve"> 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14:paraId="7B1F8C70" w14:textId="4FBAFC64" w:rsidR="006122D6" w:rsidRDefault="00C77A3D" w:rsidP="00C43AAF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6122D6">
        <w:rPr>
          <w:rFonts w:ascii="Times New Roman" w:hAnsi="Times New Roman" w:cs="Times New Roman"/>
          <w:b/>
          <w:sz w:val="24"/>
        </w:rPr>
        <w:t>.</w:t>
      </w:r>
      <w:r w:rsidR="00902BCC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Срок выполнения работ:</w:t>
      </w:r>
      <w:r w:rsidRPr="00A921B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921B0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Pr="00A921B0">
        <w:rPr>
          <w:rFonts w:ascii="Times New Roman" w:hAnsi="Times New Roman" w:cs="Times New Roman"/>
          <w:sz w:val="24"/>
        </w:rPr>
        <w:t xml:space="preserve"> Государственного контракта</w:t>
      </w:r>
      <w:r w:rsidR="00E61FAA">
        <w:rPr>
          <w:rStyle w:val="T2"/>
        </w:rPr>
        <w:t>, но не ранее 01.01.2025</w:t>
      </w:r>
      <w:r w:rsidR="00E61FAA" w:rsidRPr="00576A85">
        <w:rPr>
          <w:rStyle w:val="T2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A921B0">
        <w:rPr>
          <w:rFonts w:ascii="Times New Roman" w:hAnsi="Times New Roman" w:cs="Times New Roman"/>
          <w:sz w:val="24"/>
        </w:rPr>
        <w:t>о</w:t>
      </w:r>
      <w:r w:rsidR="00C3737F">
        <w:rPr>
          <w:rFonts w:ascii="Times New Roman" w:hAnsi="Times New Roman" w:cs="Times New Roman"/>
          <w:sz w:val="24"/>
        </w:rPr>
        <w:t xml:space="preserve"> </w:t>
      </w:r>
      <w:r w:rsidR="005B6421">
        <w:rPr>
          <w:rFonts w:ascii="Times New Roman" w:hAnsi="Times New Roman" w:cs="Times New Roman"/>
          <w:sz w:val="24"/>
        </w:rPr>
        <w:t>19.11</w:t>
      </w:r>
      <w:r w:rsidR="00316A9F">
        <w:rPr>
          <w:rFonts w:ascii="Times New Roman" w:hAnsi="Times New Roman" w:cs="Times New Roman"/>
          <w:sz w:val="24"/>
        </w:rPr>
        <w:t>.</w:t>
      </w:r>
      <w:r w:rsidR="00187341" w:rsidRPr="00187341">
        <w:rPr>
          <w:rFonts w:ascii="Times New Roman" w:hAnsi="Times New Roman" w:cs="Times New Roman"/>
          <w:sz w:val="24"/>
        </w:rPr>
        <w:t>202</w:t>
      </w:r>
      <w:r w:rsidR="005B6421">
        <w:rPr>
          <w:rFonts w:ascii="Times New Roman" w:hAnsi="Times New Roman" w:cs="Times New Roman"/>
          <w:sz w:val="24"/>
        </w:rPr>
        <w:t>5</w:t>
      </w:r>
      <w:r w:rsidR="00187341" w:rsidRPr="00187341">
        <w:rPr>
          <w:rFonts w:ascii="Times New Roman" w:hAnsi="Times New Roman" w:cs="Times New Roman"/>
          <w:sz w:val="24"/>
        </w:rPr>
        <w:t>.</w:t>
      </w:r>
    </w:p>
    <w:p w14:paraId="6098855A" w14:textId="06EFA97E" w:rsidR="00305D20" w:rsidRDefault="00305D20" w:rsidP="00C43AAF">
      <w:pPr>
        <w:pStyle w:val="Standard"/>
        <w:tabs>
          <w:tab w:val="left" w:pos="0"/>
        </w:tabs>
        <w:ind w:right="-88"/>
        <w:jc w:val="both"/>
        <w:rPr>
          <w:rFonts w:ascii="Times New Roman" w:hAnsi="Times New Roman" w:cs="Times New Roman"/>
          <w:sz w:val="24"/>
        </w:rPr>
      </w:pPr>
      <w:r w:rsidRPr="00305D20">
        <w:rPr>
          <w:rFonts w:ascii="Times New Roman" w:hAnsi="Times New Roman" w:cs="Times New Roman"/>
          <w:sz w:val="24"/>
        </w:rPr>
        <w:t>Срок выполнения работ Исполнителем с момента обращения Получателя с Направлением к Исполнителю не более 60 дней.</w:t>
      </w:r>
    </w:p>
    <w:p w14:paraId="045B96E2" w14:textId="77777777" w:rsidR="006122D6" w:rsidRPr="006122D6" w:rsidRDefault="00C752D8" w:rsidP="00B8029D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. Общие</w:t>
      </w:r>
      <w:bookmarkStart w:id="0" w:name="_GoBack"/>
      <w:bookmarkEnd w:id="0"/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14:paraId="48B808AF" w14:textId="1B61E92C" w:rsidR="00B56F5F" w:rsidRDefault="00B56F5F" w:rsidP="00F23921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</w:t>
      </w:r>
      <w:r w:rsidR="00E951E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– техническ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устройств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, надеваем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ое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на конечность или ее сегмент (сегменты) опорно-двигательного аппарата с целью фиксации, разгрузки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,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для восстановления нарушенных функций</w:t>
      </w:r>
      <w:r w:rsidR="001C5D70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1C5D70" w:rsidRPr="001C5D70">
        <w:rPr>
          <w:rFonts w:ascii="Times New Roman" w:eastAsia="Arial" w:hAnsi="Times New Roman" w:cs="Times New Roman"/>
          <w:kern w:val="1"/>
          <w:sz w:val="24"/>
          <w:lang w:eastAsia="ar-SA" w:bidi="ar-SA"/>
        </w:rPr>
        <w:t>(далее – Издели</w:t>
      </w:r>
      <w:r w:rsidR="00902BC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1C5D70" w:rsidRPr="001C5D70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B56F5F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14:paraId="06F07FA7" w14:textId="0063E35C" w:rsidR="00C43AAF" w:rsidRDefault="00F23921" w:rsidP="00F23921">
      <w:pPr>
        <w:widowControl/>
        <w:suppressAutoHyphens w:val="0"/>
        <w:autoSpaceDN/>
        <w:contextualSpacing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ab/>
      </w:r>
      <w:r w:rsidR="00C43AAF"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Работы по 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обеспечению Получателя</w:t>
      </w:r>
      <w:r w:rsidR="00C43AAF"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C43AAF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Изделием</w:t>
      </w:r>
      <w:r w:rsidR="00C43AAF" w:rsidRPr="00FC5755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предусматривают индивидуальное изготовление, </w:t>
      </w:r>
      <w:r w:rsidR="00C43AAF" w:rsidRPr="00AB2277">
        <w:rPr>
          <w:rFonts w:ascii="Times New Roman" w:eastAsia="Arial" w:hAnsi="Times New Roman" w:cs="Times New Roman"/>
          <w:kern w:val="1"/>
          <w:sz w:val="24"/>
          <w:lang w:eastAsia="ar-SA" w:bidi="ar-SA"/>
        </w:rPr>
        <w:t>обучение пользованию в соответствии с требованиями Национального стандарта Российской Федерации ГОСТ Р 59542-2021 «Реабилитационные мероприятия и выдачу технического средства реабилитации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14:paraId="1437C123" w14:textId="77777777" w:rsidR="005B6421" w:rsidRDefault="00C752D8" w:rsidP="005B6421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Технические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</w:t>
      </w:r>
      <w:r w:rsidR="00287C8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изделия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928"/>
      </w:tblGrid>
      <w:tr w:rsidR="005B6421" w:rsidRPr="006122D6" w14:paraId="5A9CF3CB" w14:textId="77777777" w:rsidTr="005B6421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A59B7F" w14:textId="77777777" w:rsidR="005B6421" w:rsidRPr="006122D6" w:rsidRDefault="005B6421" w:rsidP="005B6421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D4B2177" w14:textId="77777777" w:rsidR="005B6421" w:rsidRPr="006122D6" w:rsidRDefault="005B6421" w:rsidP="005B6421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изделия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264FB344" w14:textId="77777777" w:rsidR="005B6421" w:rsidRPr="006122D6" w:rsidRDefault="005B6421" w:rsidP="005B6421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(кол-во изделий), шт.</w:t>
            </w:r>
          </w:p>
        </w:tc>
      </w:tr>
      <w:tr w:rsidR="005B6421" w:rsidRPr="008A007B" w14:paraId="194AFC35" w14:textId="77777777" w:rsidTr="005B6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CAD1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Изготовление протеза</w:t>
            </w:r>
          </w:p>
          <w:p w14:paraId="041090B1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бедра модульного, в том числе при врожденном недоразвитии</w:t>
            </w:r>
          </w:p>
          <w:p w14:paraId="0A8B84D6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181" w14:textId="4A1A0B55" w:rsidR="005B6421" w:rsidRPr="008A007B" w:rsidRDefault="005B6421" w:rsidP="005B6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Протез бедра модульный 2 – 3-го уровня активности.  Постоянная приемная гильза по слепку из литьевого слоистого пластика на основе акриловых смол. Пробная приемная гильза из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термолина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(1 шт.). Коленный шарнир модульный с тормозным механизмом, моноцентрический с толкателем и предохранительным чехлом или четырёхосный коленный шарнир. Регулировочно-соединительные устройства соответствуют весу инвалида. Стопа анатомической формы со средней степенью энергосбережения. Облицовка мягкая модульная полиуретановая (поролон). Косметическое покрытие облицовки - чулки ортопедические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перлоновые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. Крепление протеза поясное с использованием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вертлуг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–развилки,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подбедренника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, помочи или бандажа (2 шт.). Чехлы на культю бедра шерстяные - 8 шт. Тип протеза - постоянный.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6F7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t>3</w:t>
            </w:r>
          </w:p>
        </w:tc>
      </w:tr>
      <w:tr w:rsidR="005B6421" w:rsidRPr="008A007B" w14:paraId="30BCD5D1" w14:textId="77777777" w:rsidTr="005B6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306D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протеза голени </w:t>
            </w:r>
            <w:r w:rsidRPr="008A0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модульного, в том числе при недоразвитии</w:t>
            </w:r>
          </w:p>
          <w:p w14:paraId="3DE0C820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748" w14:textId="77777777" w:rsidR="005B6421" w:rsidRPr="008A007B" w:rsidRDefault="005B6421" w:rsidP="005B6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Протез голени модульного типа 1 - 2-го уровня активности без силиконового чехла. Постоянная </w:t>
            </w:r>
            <w:r w:rsidRPr="008A0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приемная гильза из литьевого слоистого пластика на основе акриловых смол изготовлена по индивидуальному слепку. Пробная приемная гильза из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термолина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(1 шт.). Вкладной чехол из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вспененного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пенополиуретана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. Крепление протеза с использованием кожаного пояса и крепления по типу «уздечки». Регулировочно-соединительные устройства соответствует весу инвалида на нагрузку до 125кг. Стопа имеет анатомическую форму. Облицовка мягкая полиуретановая модульная (поролон), покрытие облицовки - чулки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перлоновые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ортопедические. Чехлы на культю голени шерстяные -  8 шт. Тип протеза – постоянный.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9E3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lastRenderedPageBreak/>
              <w:t>2</w:t>
            </w:r>
          </w:p>
        </w:tc>
      </w:tr>
      <w:tr w:rsidR="005B6421" w:rsidRPr="008A007B" w14:paraId="72339EDB" w14:textId="77777777" w:rsidTr="005B6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049" w14:textId="77777777" w:rsidR="005B6421" w:rsidRPr="008A007B" w:rsidRDefault="005B6421" w:rsidP="005B64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A00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Изготовление протеза голени модульного, в том числе при недоразвитии</w:t>
            </w:r>
          </w:p>
          <w:p w14:paraId="21A326CC" w14:textId="77777777" w:rsidR="005B6421" w:rsidRPr="008A007B" w:rsidRDefault="005B6421" w:rsidP="005B64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37A1" w14:textId="77777777" w:rsidR="005B6421" w:rsidRPr="008A007B" w:rsidRDefault="005B6421" w:rsidP="005B6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Протез голени 2-3 уровня активности. Примерочная гильза из термопласта, выполненная по индивидуальному гипсовому слепку. Постоянная приемная гильза изготовлена по гипсовой копии из слоистого пластика на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акриловом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связующем. Для комфортности при динамических нагрузках в основную приемную гильзу введен эластичный вкладыш из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ортолюкса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. Для создания равномерного распределения нагрузки на мягкие ткани и костные выступы культи пациента, а также удержания протеза, используется силиконовый чехол (в количестве 2 шт.) совместно с замковым устройством. Для стабилизации коленного сустава, в периоды длительной ходьбы, используется силиконовый наколенник (в количестве 2 шт.). Стопа с высокой функциональностью даже в условиях максимальных нагрузок. Передняя часть стопы и пятка выполнены из гибкого композитного материала на основе карбонового волокна и соединены в одну систему при помощи опорной пружины из высокопрочного полимера.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Торсионный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РСУ помогает гасить ротационные нагрузки. Косметическая оболочка протеза мягкая пенополиуретановая. Чулки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перлоновые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. Все полуфабрикаты подобраны с учетом веса пациента. Тип протеза - постоянный.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CA9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t>2</w:t>
            </w:r>
          </w:p>
        </w:tc>
      </w:tr>
      <w:tr w:rsidR="005B6421" w:rsidRPr="008A007B" w14:paraId="4542F6A8" w14:textId="77777777" w:rsidTr="005B6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1FE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Изготовление протеза бедра модульного, в том числе при врожденном недоразвитии</w:t>
            </w:r>
          </w:p>
          <w:p w14:paraId="6F24AF9E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223" w14:textId="77777777" w:rsidR="005B6421" w:rsidRPr="008A007B" w:rsidRDefault="005B6421" w:rsidP="005B6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Протез бедра 2- 3 уровня активности. Пробная приемная гильза изготовлена из термопласта по индивидуальному гипсовому слепку. Постоянная приемная гильза выполнена по гипсовой копии из слоистого пластика на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акриловом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связующем с вакуумным клапаном. Удержание протеза - пояс узкий,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вертлуг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- развилка, ремень подхват. Коленный модуль замковый.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Торсионный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РСУ позволяет сгладить ротационные нагрузки. Стопа с высокой функциональностью даже в условиях максимальных нагрузок. Передняя часть стопы и пятка выполнены из гибкого композитного </w:t>
            </w:r>
            <w:r w:rsidRPr="008A0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материала на основе карбонового волокна и соединены в одну систему при помощи опорной пружины из высокопрочного полимера. Косметическая оболочка протеза модульная пенополиуретановая, чулки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перлоновые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. Протез комплектуется шерстяными чехлами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  В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се полуфабрикаты подобранны под вес протезируемого.  Протез предназначен для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передвижения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как в замкнутом, так и на открытом пространстве.  Тип протеза основной.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6993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lastRenderedPageBreak/>
              <w:t>1</w:t>
            </w:r>
          </w:p>
        </w:tc>
      </w:tr>
      <w:tr w:rsidR="005B6421" w:rsidRPr="008A007B" w14:paraId="6F2246AD" w14:textId="77777777" w:rsidTr="005B6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6519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 протеза бедра модульного, в том числе при врожденном недоразвитии</w:t>
            </w:r>
          </w:p>
          <w:p w14:paraId="781C304B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A0A2" w14:textId="6144F89F" w:rsidR="005B6421" w:rsidRPr="008A007B" w:rsidRDefault="005B6421" w:rsidP="005B64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Протез бедра модульный для пациентов с высоким уровнем активности. Примерочная приемная гильза выполнена из термопласта по индивидуальному гипсовому слепку. Постоянная приемная гильза выполнена по гипсовой копии из слоистого пластика на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акриловом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связующем оснащена вакуумным клапаном. Для удержания протеза используется чехол силиконовый, который оснащен мембранами. Коленный модуль многоосный с пневматической системой управления фазой переноса. Мощная двухкамерная пневматическая система с интегрированным пружинным толкателем обеспечивает плавное маятниковое движение голени протеза даже при более высоких скоростях ходьбы.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Торсионный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РСУ эффективно гасит ротационные нагрузки. Стопа благодаря особым характеристикам пружины из пластика в комбинации с функциональной полиуретановой оболочкой и встроенным промежуточным трикотажным ремнем обладает высокой отдачей энергии и эластичным перекатом.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Учитывая условия работы пациента протез оснащен кожаным креплением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. Косметическая оболочка мягкая пенополиуретановая.  Все полуфабрикаты подобранны под вес получателя. Протез предназначен для передвижения, как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замкнутом, так и на открытом пространстве.  Тип протеза -   постоянный. Для адаптации пациента к конструкции протеза и коррекции походки протезирование проводить в условиях стационара.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F45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5B6421" w:rsidRPr="008A007B" w14:paraId="5BC05FB6" w14:textId="77777777" w:rsidTr="005B6421"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3B72E86" w14:textId="77777777" w:rsidR="005B6421" w:rsidRPr="008A007B" w:rsidRDefault="005B6421" w:rsidP="005B6421">
            <w:pPr>
              <w:snapToGrid w:val="0"/>
              <w:spacing w:before="99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Изготовление протеза бедра для купания</w:t>
            </w:r>
          </w:p>
          <w:p w14:paraId="5580C6FC" w14:textId="77777777" w:rsidR="005B6421" w:rsidRPr="008A007B" w:rsidRDefault="005B6421" w:rsidP="005B6421">
            <w:pPr>
              <w:snapToGrid w:val="0"/>
              <w:spacing w:before="99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85E9893" w14:textId="77777777" w:rsidR="005B6421" w:rsidRPr="008A007B" w:rsidRDefault="005B6421" w:rsidP="005B6421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Протез бедра модульный для купания. Косметическая оболочка индивидуального изготовления. Приемная гильза индивидуальная по слепку. Материал индивидуальной постоянной гильзы: литьевой слоистый пластик на основе акриловых смол, листовой термопласт. В качестве вкладного элемента применяются полимерные чехлы силиконовые или гелиевые с высоким уровнем поглощения динамических нагрузок. Крепление протеза с использованием замка для лайнера. Коленный шарнир с улучшенной функцией </w:t>
            </w:r>
            <w:r w:rsidRPr="008A0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контролируемого подгибания колена при опоре на пятку и гидравлическим управлением в фазе переноса. Регулировочно-соединительные устройства соответствуют весу пациента. Стопа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бескаблучная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, на поверхности которой имеется специальное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рефление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, предотвращающее проскальзывание по мокрой поверхности. Все компоненты модульной системы водостойкие, имеют улучшенный современный дизайн, подходят для пациентов с весом тела до 150 кг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3516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lastRenderedPageBreak/>
              <w:t>2</w:t>
            </w:r>
          </w:p>
        </w:tc>
      </w:tr>
      <w:tr w:rsidR="005B6421" w:rsidRPr="008A007B" w14:paraId="158EDE1B" w14:textId="77777777" w:rsidTr="005B6421"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582E2A5" w14:textId="77777777" w:rsidR="005B6421" w:rsidRPr="008A007B" w:rsidRDefault="005B6421" w:rsidP="005B6421">
            <w:pPr>
              <w:snapToGrid w:val="0"/>
              <w:spacing w:before="99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 протеза голени для купания</w:t>
            </w:r>
          </w:p>
          <w:p w14:paraId="393DC948" w14:textId="77777777" w:rsidR="005B6421" w:rsidRPr="008A007B" w:rsidRDefault="005B6421" w:rsidP="005B6421">
            <w:pPr>
              <w:snapToGrid w:val="0"/>
              <w:spacing w:before="99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25F9405" w14:textId="77777777" w:rsidR="005B6421" w:rsidRPr="008A007B" w:rsidRDefault="005B6421" w:rsidP="005B6421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Протез голени модульный для купания. Пробная приемная гильза из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термолина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. Постоянная приемная гильза по слепку из литьевого слоистого пластика на основе акриловых смол или листового термопластика. В качестве вкладного элемента применяются чехлы силиконовые с матрицей с высоким уровнем поглощения динамических нагрузок или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гелевые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.  Крепление протеза голени с использованием полимерного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гелевого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наколенника.  Регулировочно-соединительные устройства соответствуют весу пациента. Стопа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бескаблучная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, подошва стопы имеет решетчатый профиль и благодаря специальной композиции применяемых материалов и форме, обладает очень хорошей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сцепляемостью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с опорной поверхностью, предотвращающее проскальзывание по мокрой поверхности.  Она имеет естественную форму с отформованными пальцами и отведенным большим пальцем. Все компоненты модульной системы водостойки, имеют улучшенный современный дизайн, подходят для пациентов с весом тела до 150 кг.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92A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t>3</w:t>
            </w:r>
          </w:p>
        </w:tc>
      </w:tr>
      <w:tr w:rsidR="005B6421" w:rsidRPr="008A007B" w14:paraId="5897053A" w14:textId="77777777" w:rsidTr="005B6421"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4E1C0C6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Изготовление протеза голени модульного типа, в том числе при недоразвитии</w:t>
            </w:r>
          </w:p>
          <w:p w14:paraId="13AD6DA2" w14:textId="77777777" w:rsidR="005B6421" w:rsidRPr="008A007B" w:rsidRDefault="005B6421" w:rsidP="005B6421">
            <w:pPr>
              <w:snapToGrid w:val="0"/>
              <w:spacing w:before="99" w:after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F53A382" w14:textId="77777777" w:rsidR="005B6421" w:rsidRPr="008A007B" w:rsidRDefault="005B6421" w:rsidP="005B6421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Протез голени модульного типа 2 – 3-го уровня активности с силиконовым чехлом. Постоянная приемная гильза по слепку из литьевого слоистого пластика на основе акриловых смол. Вкладной чехол из </w:t>
            </w:r>
            <w:proofErr w:type="gram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вспененного</w:t>
            </w:r>
            <w:proofErr w:type="gram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пенополиуретана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. Пробная приемная гильза из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термолина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(1 шт.).  Чехлы силиконовые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гелевые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(2 шт.). Крепление протеза с использованием замка для силиконовых чехлов. Регулировочно-соединительные устройства соответствуют весу инвалида на нагрузку до 125кг. Стопа со средней степенью энергосбережения. Облицовка мягкая модульная полиуретановая (поролон), покрытие облицовки - чулки </w:t>
            </w:r>
            <w:proofErr w:type="spellStart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>перлоновые</w:t>
            </w:r>
            <w:proofErr w:type="spellEnd"/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ортопедические. Тип протеза – постоянный.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0E4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5B6421" w:rsidRPr="008A007B" w14:paraId="531E8609" w14:textId="77777777" w:rsidTr="005B6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4FF8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протеза голени модульного типа, в том числе при </w:t>
            </w:r>
            <w:r w:rsidRPr="008A0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недоразвитии</w:t>
            </w:r>
          </w:p>
          <w:p w14:paraId="0617D7C1" w14:textId="77777777" w:rsidR="005B6421" w:rsidRPr="008A007B" w:rsidRDefault="005B6421" w:rsidP="005B64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CC7ED" w14:textId="77777777" w:rsidR="005B6421" w:rsidRPr="008A007B" w:rsidRDefault="005B6421" w:rsidP="005B6421">
            <w:pPr>
              <w:pStyle w:val="a3"/>
              <w:widowControl/>
              <w:shd w:val="clear" w:color="auto" w:fill="FFFFFF"/>
              <w:suppressAutoHyphens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8A00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Высокофункциональный</w:t>
            </w:r>
            <w:proofErr w:type="spellEnd"/>
            <w:r w:rsidRPr="008A00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протез голени модульный для пациента с высокой степенью активности. Пробная примерочная гильза из термопласта изготовлена по индивидуальному гипсовому слепку. Основная приемная гильза выполнена по гипсовой </w:t>
            </w:r>
            <w:r w:rsidRPr="008A00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копии из слоистого пластика на </w:t>
            </w:r>
            <w:proofErr w:type="gramStart"/>
            <w:r w:rsidRPr="008A00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акриловом</w:t>
            </w:r>
            <w:proofErr w:type="gramEnd"/>
            <w:r w:rsidRPr="008A00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связующем с эластичным вкладышем. В качестве смягчающего элемента, а также удержания протеза используется силиконовый чехол совместно с замковым устройством. Для стабилизации коленного сустава применен наколенник.  Стопа с 12гр. </w:t>
            </w:r>
            <w:proofErr w:type="spellStart"/>
            <w:r w:rsidRPr="008A00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плантарной</w:t>
            </w:r>
            <w:proofErr w:type="spellEnd"/>
            <w:r w:rsidRPr="008A00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дорсальной флексии вместе со смещённой кзади осью шарнира обеспечивают походку, максимально приближённую к естественной физиологической норме, что особенно важно при ходьбе по наклонной поверхности и при переходе с наклонной на ровную поверхность. Раздвоенный носок и пятка улучшают контакт с поверхностью, обеспечивают стабильность при ходьбе по любым неровностям. Специальная встроенная пружина помогает предотвратить спотыкание и падение пациента во время фазы переноса при медленной ходьбе. Возможное изменение высоты каблука от 0-3,5 см. Облицовка протеза модульная, полиуретановая. Эластичная оболочка - гольфы </w:t>
            </w:r>
            <w:proofErr w:type="spellStart"/>
            <w:r w:rsidRPr="008A00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перлоновые</w:t>
            </w:r>
            <w:proofErr w:type="spellEnd"/>
            <w:r w:rsidRPr="008A00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Тип протеза постоянный.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487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lastRenderedPageBreak/>
              <w:t>2</w:t>
            </w:r>
          </w:p>
        </w:tc>
      </w:tr>
      <w:tr w:rsidR="005B6421" w:rsidRPr="008A007B" w14:paraId="19792761" w14:textId="77777777" w:rsidTr="005B642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7C9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 протеза голени модульного типа, в том числе при недоразвитии</w:t>
            </w:r>
          </w:p>
          <w:p w14:paraId="095B8073" w14:textId="77777777" w:rsidR="005B6421" w:rsidRPr="008A007B" w:rsidRDefault="005B6421" w:rsidP="005B64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B7ADF" w14:textId="77777777" w:rsidR="005B6421" w:rsidRPr="008A007B" w:rsidRDefault="005B6421" w:rsidP="005B6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Протез голени 2-3го уровня активности. Примерочные гильзы в количестве 2 шт. из термопласта, выполнены по индивидуальному гипсовому слепку. Постоянная приемная гильза изготовлена по гипсовой копии из слоистого пластика на </w:t>
            </w:r>
            <w:proofErr w:type="gramStart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>акриловом</w:t>
            </w:r>
            <w:proofErr w:type="gramEnd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связующем. Для комфортности при динамических нагрузках в основную приемную гильзу введен эластичный вкладыш из </w:t>
            </w:r>
            <w:proofErr w:type="spellStart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>ортолюкса</w:t>
            </w:r>
            <w:proofErr w:type="spellEnd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>. Для создания равномерного распределения нагрузки на мягкие ткани и костные выступы культи получателя, а также удержания протеза</w:t>
            </w: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используются два силиконовых чехла совместно с замковым устройством. Для стабилизации коленного сустава, в периоды длительной ходьбы</w:t>
            </w:r>
            <w:r w:rsidRPr="008A0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используется силиконовый наколенник. Стопа с 12 градусной </w:t>
            </w:r>
            <w:proofErr w:type="spellStart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>плантарной</w:t>
            </w:r>
            <w:proofErr w:type="spellEnd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дорсальной флексией со смещенной кзади осью шарнира, обеспечивает походку максимально приближенную к естественной физиологической норме, </w:t>
            </w:r>
            <w:proofErr w:type="gramStart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>раздвоенные</w:t>
            </w:r>
            <w:proofErr w:type="gramEnd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носок и пятка улучшают контакт с поверхностью, обеспечивая стабильность при ходьбе по любым неровностям. Высота каблука изменяется в диапазоне от 0 до 3,5 см. Торсионное регулировочно-соединительное устройство снимает ротационные нагрузки, что очень важно при передвижении в замкнутых пространствах. Косметическая оболочка протеза мягкая, пенополиуретановая. Чулки </w:t>
            </w:r>
            <w:proofErr w:type="spellStart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>перлоновые</w:t>
            </w:r>
            <w:proofErr w:type="spellEnd"/>
            <w:r w:rsidRPr="008A007B">
              <w:rPr>
                <w:rFonts w:ascii="Times New Roman" w:hAnsi="Times New Roman" w:cs="Times New Roman"/>
                <w:bCs/>
                <w:sz w:val="26"/>
                <w:szCs w:val="26"/>
              </w:rPr>
              <w:t>. Все полуфабрикаты подобраны с учетом веса получателя. Тип протеза - постоянный.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E89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5B6421" w:rsidRPr="008A007B" w14:paraId="5DBB8182" w14:textId="77777777" w:rsidTr="005B6421">
        <w:tc>
          <w:tcPr>
            <w:tcW w:w="779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7E88695" w14:textId="77777777" w:rsidR="005B6421" w:rsidRPr="008A007B" w:rsidRDefault="005B6421" w:rsidP="005B6421">
            <w:pPr>
              <w:snapToGrid w:val="0"/>
              <w:jc w:val="both"/>
              <w:rPr>
                <w:rFonts w:ascii="Times New Roman" w:hAnsi="Times New Roman" w:cs="Times New Roman"/>
                <w:b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b/>
                <w:kern w:val="1"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7FF3E0" w14:textId="77777777" w:rsidR="005B6421" w:rsidRPr="008A007B" w:rsidRDefault="005B6421" w:rsidP="005B6421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8A007B">
              <w:rPr>
                <w:rFonts w:ascii="Times New Roman" w:hAnsi="Times New Roman" w:cs="Times New Roman"/>
                <w:kern w:val="1"/>
                <w:sz w:val="26"/>
                <w:szCs w:val="26"/>
              </w:rPr>
              <w:t>18</w:t>
            </w:r>
          </w:p>
        </w:tc>
      </w:tr>
    </w:tbl>
    <w:p w14:paraId="3B2690E4" w14:textId="39F9224C" w:rsidR="001A4AF8" w:rsidRPr="006122D6" w:rsidRDefault="005B6421" w:rsidP="005B6421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  <w:t xml:space="preserve"> </w:t>
      </w:r>
    </w:p>
    <w:p w14:paraId="51915A10" w14:textId="77777777" w:rsidR="006122D6" w:rsidRDefault="00C752D8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14:paraId="5038EC7B" w14:textId="318F28AF" w:rsidR="00C476DB" w:rsidRDefault="00C476DB" w:rsidP="00C476DB">
      <w:pPr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01B36">
        <w:rPr>
          <w:rFonts w:ascii="Times New Roman" w:hAnsi="Times New Roman"/>
          <w:kern w:val="0"/>
          <w:sz w:val="24"/>
        </w:rPr>
        <w:t>Выполняемые работы должны включать комплекс медицинских, технических и социальных мероприятий, проводимых с застрахованным лиц</w:t>
      </w:r>
      <w:r>
        <w:rPr>
          <w:rFonts w:ascii="Times New Roman" w:hAnsi="Times New Roman"/>
          <w:kern w:val="0"/>
          <w:sz w:val="24"/>
        </w:rPr>
        <w:t>ом</w:t>
      </w:r>
      <w:r w:rsidRPr="00401B36">
        <w:rPr>
          <w:rFonts w:ascii="Times New Roman" w:hAnsi="Times New Roman"/>
          <w:kern w:val="0"/>
          <w:sz w:val="24"/>
        </w:rPr>
        <w:t xml:space="preserve">, имеющим нарушения опорно-двигательного аппарата </w:t>
      </w:r>
      <w:r w:rsidR="007B3D4A">
        <w:rPr>
          <w:rFonts w:ascii="Times New Roman" w:hAnsi="Times New Roman"/>
          <w:kern w:val="0"/>
          <w:sz w:val="24"/>
        </w:rPr>
        <w:t>в целях</w:t>
      </w:r>
      <w:r w:rsidRPr="00401B36">
        <w:rPr>
          <w:rFonts w:ascii="Times New Roman" w:hAnsi="Times New Roman"/>
          <w:kern w:val="0"/>
          <w:sz w:val="24"/>
        </w:rPr>
        <w:t xml:space="preserve"> восстановлени</w:t>
      </w:r>
      <w:r w:rsidR="007B3D4A">
        <w:rPr>
          <w:rFonts w:ascii="Times New Roman" w:hAnsi="Times New Roman"/>
          <w:kern w:val="0"/>
          <w:sz w:val="24"/>
        </w:rPr>
        <w:t xml:space="preserve">я </w:t>
      </w:r>
      <w:r w:rsidRPr="00401B36">
        <w:rPr>
          <w:rFonts w:ascii="Times New Roman" w:hAnsi="Times New Roman"/>
          <w:kern w:val="0"/>
          <w:sz w:val="24"/>
        </w:rPr>
        <w:t>и</w:t>
      </w:r>
      <w:r w:rsidR="007B3D4A">
        <w:rPr>
          <w:rFonts w:ascii="Times New Roman" w:hAnsi="Times New Roman"/>
          <w:kern w:val="0"/>
          <w:sz w:val="24"/>
        </w:rPr>
        <w:t>ли</w:t>
      </w:r>
      <w:r w:rsidRPr="00401B36">
        <w:rPr>
          <w:rFonts w:ascii="Times New Roman" w:hAnsi="Times New Roman"/>
          <w:kern w:val="0"/>
          <w:sz w:val="24"/>
        </w:rPr>
        <w:t xml:space="preserve"> компенсаци</w:t>
      </w:r>
      <w:r w:rsidR="007B3D4A">
        <w:rPr>
          <w:rFonts w:ascii="Times New Roman" w:hAnsi="Times New Roman"/>
          <w:kern w:val="0"/>
          <w:sz w:val="24"/>
        </w:rPr>
        <w:t>и</w:t>
      </w:r>
      <w:r w:rsidRPr="00401B36">
        <w:rPr>
          <w:rFonts w:ascii="Times New Roman" w:hAnsi="Times New Roman"/>
          <w:kern w:val="0"/>
          <w:sz w:val="24"/>
        </w:rPr>
        <w:t xml:space="preserve"> </w:t>
      </w:r>
      <w:r w:rsidR="007B3D4A">
        <w:rPr>
          <w:rFonts w:ascii="Times New Roman" w:hAnsi="Times New Roman"/>
          <w:kern w:val="0"/>
          <w:sz w:val="24"/>
        </w:rPr>
        <w:t>ограничений их жизнедеятельности</w:t>
      </w:r>
      <w:r w:rsidRPr="00401B36">
        <w:rPr>
          <w:rFonts w:ascii="Times New Roman" w:hAnsi="Times New Roman"/>
          <w:kern w:val="0"/>
          <w:sz w:val="24"/>
        </w:rPr>
        <w:t>.</w:t>
      </w:r>
      <w:r>
        <w:rPr>
          <w:rFonts w:ascii="Times New Roman" w:hAnsi="Times New Roman"/>
          <w:kern w:val="0"/>
          <w:sz w:val="24"/>
        </w:rPr>
        <w:t xml:space="preserve"> </w:t>
      </w:r>
    </w:p>
    <w:p w14:paraId="32D50E44" w14:textId="5C189977" w:rsidR="006122D6" w:rsidRDefault="006122D6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конечности, </w:t>
      </w:r>
      <w:r w:rsid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2748B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14:paraId="3291098A" w14:textId="63EEE291" w:rsidR="00555D6D" w:rsidRPr="006122D6" w:rsidRDefault="007B3D4A" w:rsidP="006122D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</w:t>
      </w:r>
      <w:r w:rsidR="00555D6D"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иль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="00555D6D"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="00555D6D"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14:paraId="0127CDE0" w14:textId="760ED108" w:rsidR="00555D6D" w:rsidRDefault="006122D6" w:rsidP="00CF120C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гильз, контактирующих с телом человека, должны быть разрешены к применению Министерством здравоохранения Российской Федерации. </w:t>
      </w:r>
    </w:p>
    <w:p w14:paraId="42FACC02" w14:textId="77777777" w:rsidR="00603937" w:rsidRDefault="00603937" w:rsidP="00603937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0393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протеза должны быть стойкими к воздействию физиологических растворов (пота, мочи).</w:t>
      </w:r>
    </w:p>
    <w:p w14:paraId="5964FAB5" w14:textId="1D32121E" w:rsidR="00963221" w:rsidRDefault="00963221" w:rsidP="00603937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протеза должны быть изготовлены из коррозийно-стойких материалов или защищены от коррозии специальными покрытиями.</w:t>
      </w:r>
    </w:p>
    <w:p w14:paraId="6F11BC93" w14:textId="1D901FD1" w:rsidR="00CF120C" w:rsidRPr="00CF120C" w:rsidRDefault="00107523" w:rsidP="00603937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Требования к техническим характеристикам определяются с</w:t>
      </w:r>
      <w:r w:rsidR="00CF120C"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учетом уровня ампутации и модулирования, применяемого в протезировании:   </w:t>
      </w:r>
    </w:p>
    <w:p w14:paraId="0B71861E" w14:textId="3D21645A" w:rsidR="00963221" w:rsidRPr="00963221" w:rsidRDefault="00963221" w:rsidP="0096322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гильза протеза конечности должна быть изготовлена по индивидуальным параметрам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получателя</w:t>
      </w: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предназначаться для размещения в не</w:t>
      </w:r>
      <w:r w:rsidR="00F8540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й</w:t>
      </w: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культи или пораженной конечности, обеспечивая взаимодействие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получателя</w:t>
      </w: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 протезом конечности;</w:t>
      </w:r>
    </w:p>
    <w:p w14:paraId="1D32F2F5" w14:textId="77777777" w:rsidR="00963221" w:rsidRPr="00963221" w:rsidRDefault="00963221" w:rsidP="0096322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6322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14:paraId="451398DA" w14:textId="56A4D564" w:rsidR="00107523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427DB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следующих стандартов:</w:t>
      </w:r>
    </w:p>
    <w:p w14:paraId="1643107B" w14:textId="77777777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53869-2021 «Протезы нижних конечностей. Технические требования», </w:t>
      </w:r>
    </w:p>
    <w:p w14:paraId="25DC0498" w14:textId="77777777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ИСО 22523-2007 «Протезы конечностей и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</w:t>
      </w:r>
    </w:p>
    <w:p w14:paraId="04A900C2" w14:textId="77777777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испытаний»;</w:t>
      </w:r>
    </w:p>
    <w:p w14:paraId="17C91049" w14:textId="449A6658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10993-5-2023 «Изделия медицинские. Оценка биологического действ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ия медицинских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изделий. Часть 5. Исследования на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цитотоксичность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метод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ами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in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vitro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»;</w:t>
      </w:r>
    </w:p>
    <w:p w14:paraId="02F38BF3" w14:textId="415DBDBE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10993-1-2021 «Изделия медицинские. Оценка биол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огического действия медицинских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изделий. Часть 1. Оценка и исследования в процессе менеджмента риска»;</w:t>
      </w:r>
    </w:p>
    <w:p w14:paraId="1B45DCDC" w14:textId="0E7AF0AA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ISO 10993-10-2023 «Изделия медицинские. Оценка биол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огического действия медицинских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изделий. Часть 10. Исследования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сенсибилизирующего действия»;</w:t>
      </w:r>
    </w:p>
    <w:p w14:paraId="6277DFF1" w14:textId="3CB63493" w:rsidR="00107523" w:rsidRPr="00107523" w:rsidRDefault="00107523" w:rsidP="0010752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Р 51819-2022 «Протезирование и </w:t>
      </w:r>
      <w:proofErr w:type="spellStart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ортезирование</w:t>
      </w:r>
      <w:proofErr w:type="spellEnd"/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верхни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х и нижних конечностей. Термины и определения»;</w:t>
      </w:r>
    </w:p>
    <w:p w14:paraId="31FC7D7C" w14:textId="0C9B45B5" w:rsidR="00107523" w:rsidRDefault="00107523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ГОСТ Р ИСО 13405-2-2018 «Протезирование и ортопедия.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Классификация и описание узлов </w:t>
      </w:r>
      <w:r w:rsidRPr="00107523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протезов. Часть 2. Описание узлов протезов нижних конечностей»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14:paraId="4CCAEDD8" w14:textId="77777777" w:rsidR="006122D6" w:rsidRPr="006122D6" w:rsidRDefault="006122D6" w:rsidP="003E012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Срок пользования Издели</w:t>
      </w:r>
      <w:r w:rsidR="00616EA5">
        <w:rPr>
          <w:rFonts w:ascii="Times New Roman" w:hAnsi="Times New Roman" w:cs="Times New Roman"/>
          <w:kern w:val="2"/>
          <w:sz w:val="24"/>
          <w:lang w:eastAsia="ru-RU" w:bidi="ar-SA"/>
        </w:rPr>
        <w:t>ями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14:paraId="2013561B" w14:textId="77777777" w:rsidR="00B8029D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14:paraId="20DB0D19" w14:textId="4E447662" w:rsidR="0099302C" w:rsidRDefault="00822020" w:rsidP="00107523">
      <w:pPr>
        <w:autoSpaceDE w:val="0"/>
        <w:ind w:firstLine="709"/>
        <w:jc w:val="both"/>
        <w:rPr>
          <w:rFonts w:ascii="Times New Roman" w:hAnsi="Times New Roman"/>
          <w:sz w:val="24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следует считать эффективно исполненными, если у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</w:t>
      </w:r>
      <w:r w:rsidR="0099302C">
        <w:rPr>
          <w:rFonts w:ascii="Times New Roman" w:hAnsi="Times New Roman"/>
          <w:sz w:val="24"/>
        </w:rPr>
        <w:t xml:space="preserve">полностью или частично </w:t>
      </w:r>
      <w:r w:rsidRPr="00822020">
        <w:rPr>
          <w:rFonts w:ascii="Times New Roman" w:hAnsi="Times New Roman"/>
          <w:sz w:val="24"/>
        </w:rPr>
        <w:t>восстановлена опорная и</w:t>
      </w:r>
      <w:r w:rsidR="00107523">
        <w:rPr>
          <w:rFonts w:ascii="Times New Roman" w:hAnsi="Times New Roman"/>
          <w:sz w:val="24"/>
        </w:rPr>
        <w:t xml:space="preserve"> двигательная функции конечности</w:t>
      </w:r>
      <w:r w:rsidR="00107523" w:rsidRPr="00107523">
        <w:rPr>
          <w:rFonts w:ascii="Times New Roman" w:hAnsi="Times New Roman"/>
          <w:sz w:val="24"/>
        </w:rPr>
        <w:t>, созданы условия для предупреждения развити</w:t>
      </w:r>
      <w:r w:rsidR="00107523">
        <w:rPr>
          <w:rFonts w:ascii="Times New Roman" w:hAnsi="Times New Roman"/>
          <w:sz w:val="24"/>
        </w:rPr>
        <w:t xml:space="preserve">я деформации или благоприятного </w:t>
      </w:r>
      <w:r w:rsidR="00107523" w:rsidRPr="00107523">
        <w:rPr>
          <w:rFonts w:ascii="Times New Roman" w:hAnsi="Times New Roman"/>
          <w:sz w:val="24"/>
        </w:rPr>
        <w:t>течения болезни</w:t>
      </w:r>
      <w:r w:rsidR="00107523">
        <w:rPr>
          <w:rFonts w:ascii="Times New Roman" w:hAnsi="Times New Roman"/>
          <w:sz w:val="24"/>
        </w:rPr>
        <w:t>.</w:t>
      </w:r>
    </w:p>
    <w:p w14:paraId="1944971F" w14:textId="77777777" w:rsidR="00B8029D" w:rsidRDefault="00822020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822020">
        <w:rPr>
          <w:rFonts w:ascii="Times New Roman" w:hAnsi="Times New Roman"/>
          <w:sz w:val="24"/>
        </w:rPr>
        <w:t>Работы по обеспечению Получател</w:t>
      </w:r>
      <w:r w:rsidR="00486274">
        <w:rPr>
          <w:rFonts w:ascii="Times New Roman" w:hAnsi="Times New Roman"/>
          <w:sz w:val="24"/>
        </w:rPr>
        <w:t>я</w:t>
      </w:r>
      <w:r w:rsidRPr="00822020">
        <w:rPr>
          <w:rFonts w:ascii="Times New Roman" w:hAnsi="Times New Roman"/>
          <w:sz w:val="24"/>
        </w:rPr>
        <w:t xml:space="preserve"> Издели</w:t>
      </w:r>
      <w:r w:rsidR="00486274">
        <w:rPr>
          <w:rFonts w:ascii="Times New Roman" w:hAnsi="Times New Roman"/>
          <w:sz w:val="24"/>
        </w:rPr>
        <w:t>ем</w:t>
      </w:r>
      <w:r w:rsidRPr="00822020">
        <w:rPr>
          <w:rFonts w:ascii="Times New Roman" w:hAnsi="Times New Roman"/>
          <w:sz w:val="24"/>
        </w:rPr>
        <w:t xml:space="preserve">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14:paraId="776650CE" w14:textId="77777777" w:rsidR="006122D6" w:rsidRPr="006122D6" w:rsidRDefault="00C752D8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lastRenderedPageBreak/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14:paraId="49055349" w14:textId="731A179B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Гарантийный срок на Изделие составляет </w:t>
      </w:r>
      <w:r w:rsidR="002865F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24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(Дв</w:t>
      </w:r>
      <w:r w:rsidR="002865F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адцать четыре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 месяц</w:t>
      </w:r>
      <w:r w:rsidR="002865F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 момента подписания Получателем акта приема-передачи выполненных работ. </w:t>
      </w:r>
    </w:p>
    <w:p w14:paraId="6C58E871" w14:textId="5135A8B9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val="x-none" w:eastAsia="ru-RU" w:bidi="ar-SA"/>
        </w:rPr>
        <w:t xml:space="preserve">В течение указанного срока предприятие – изготовитель обязано производить замену или ремонт изделия бесплатно. </w:t>
      </w:r>
    </w:p>
    <w:p w14:paraId="29DA177C" w14:textId="1296B367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Срок выполнения гарантийного ремонта не должен превышать 45 дней со дня обращения Получателя.</w:t>
      </w:r>
    </w:p>
    <w:p w14:paraId="2EC3C132" w14:textId="3A6D2300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 выдаче Изделия Исполнитель предоставляет Получателю гарантийный талон или книжку (руководство пользователя), дающие Получателю право в период действия гарантийного срока осуществлять гарантийное обслуживание Изделия.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14:paraId="26D76A24" w14:textId="58E545D4" w:rsidR="005864A6" w:rsidRPr="005864A6" w:rsidRDefault="005864A6" w:rsidP="005864A6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5864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 случае обнаружения Получателем в течение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14:paraId="5E0A6ED2" w14:textId="332EF6A2" w:rsidR="007F0C01" w:rsidRPr="007F0C01" w:rsidRDefault="005864A6" w:rsidP="007F0C0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kern w:val="2"/>
          <w:sz w:val="24"/>
          <w:lang w:val="x-none" w:eastAsia="ru-RU" w:bidi="ar-SA"/>
        </w:rPr>
      </w:pPr>
      <w:r w:rsidRPr="005864A6">
        <w:rPr>
          <w:rFonts w:ascii="Times New Roman" w:eastAsia="Times New Roman" w:hAnsi="Times New Roman" w:cs="Times New Roman"/>
          <w:kern w:val="0"/>
          <w:sz w:val="24"/>
          <w:lang w:val="x-none" w:eastAsia="ru-RU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sectPr w:rsidR="007F0C01" w:rsidRPr="007F0C01" w:rsidSect="00C77A3D">
      <w:pgSz w:w="11906" w:h="16838"/>
      <w:pgMar w:top="709" w:right="849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8"/>
    <w:rsid w:val="00022418"/>
    <w:rsid w:val="00055EBC"/>
    <w:rsid w:val="00063E0D"/>
    <w:rsid w:val="0007522B"/>
    <w:rsid w:val="00076745"/>
    <w:rsid w:val="00083C2E"/>
    <w:rsid w:val="00090D1C"/>
    <w:rsid w:val="000A2FAC"/>
    <w:rsid w:val="000A5991"/>
    <w:rsid w:val="000B69ED"/>
    <w:rsid w:val="000D6F9E"/>
    <w:rsid w:val="000F490E"/>
    <w:rsid w:val="00107523"/>
    <w:rsid w:val="00111851"/>
    <w:rsid w:val="00122B3C"/>
    <w:rsid w:val="00124F6A"/>
    <w:rsid w:val="001378A7"/>
    <w:rsid w:val="00153AD4"/>
    <w:rsid w:val="00157E2C"/>
    <w:rsid w:val="001716BE"/>
    <w:rsid w:val="0017270F"/>
    <w:rsid w:val="00172A78"/>
    <w:rsid w:val="00186CBB"/>
    <w:rsid w:val="00187341"/>
    <w:rsid w:val="001874CA"/>
    <w:rsid w:val="001933ED"/>
    <w:rsid w:val="001A4AF8"/>
    <w:rsid w:val="001B412C"/>
    <w:rsid w:val="001C5D70"/>
    <w:rsid w:val="001D2CA5"/>
    <w:rsid w:val="001D659D"/>
    <w:rsid w:val="001E3525"/>
    <w:rsid w:val="001E40B2"/>
    <w:rsid w:val="001F27F8"/>
    <w:rsid w:val="002204CF"/>
    <w:rsid w:val="00223D06"/>
    <w:rsid w:val="00231304"/>
    <w:rsid w:val="00233BD5"/>
    <w:rsid w:val="00237A34"/>
    <w:rsid w:val="0026081D"/>
    <w:rsid w:val="002748B7"/>
    <w:rsid w:val="00277718"/>
    <w:rsid w:val="002865F1"/>
    <w:rsid w:val="00287C84"/>
    <w:rsid w:val="002C05D8"/>
    <w:rsid w:val="002C3B9A"/>
    <w:rsid w:val="002D7A96"/>
    <w:rsid w:val="002F537A"/>
    <w:rsid w:val="00305D20"/>
    <w:rsid w:val="0031224B"/>
    <w:rsid w:val="00316A9F"/>
    <w:rsid w:val="003357EB"/>
    <w:rsid w:val="00350DEF"/>
    <w:rsid w:val="00355808"/>
    <w:rsid w:val="00360698"/>
    <w:rsid w:val="0036293D"/>
    <w:rsid w:val="00370463"/>
    <w:rsid w:val="00377F88"/>
    <w:rsid w:val="003828C5"/>
    <w:rsid w:val="0038578A"/>
    <w:rsid w:val="003950E7"/>
    <w:rsid w:val="003A5017"/>
    <w:rsid w:val="003E0129"/>
    <w:rsid w:val="003F1189"/>
    <w:rsid w:val="0041402D"/>
    <w:rsid w:val="00424E13"/>
    <w:rsid w:val="00427DBB"/>
    <w:rsid w:val="0044216A"/>
    <w:rsid w:val="004443C3"/>
    <w:rsid w:val="004515C7"/>
    <w:rsid w:val="00451A3E"/>
    <w:rsid w:val="00453A6E"/>
    <w:rsid w:val="00454DB9"/>
    <w:rsid w:val="004731E7"/>
    <w:rsid w:val="00486274"/>
    <w:rsid w:val="0048698A"/>
    <w:rsid w:val="0049611A"/>
    <w:rsid w:val="004B0437"/>
    <w:rsid w:val="004B174C"/>
    <w:rsid w:val="004C0E4B"/>
    <w:rsid w:val="004C1132"/>
    <w:rsid w:val="004C1EC4"/>
    <w:rsid w:val="004E1870"/>
    <w:rsid w:val="0050783D"/>
    <w:rsid w:val="0051765D"/>
    <w:rsid w:val="005372DA"/>
    <w:rsid w:val="0054690C"/>
    <w:rsid w:val="00555D6D"/>
    <w:rsid w:val="00563E8C"/>
    <w:rsid w:val="005708AB"/>
    <w:rsid w:val="005843FA"/>
    <w:rsid w:val="005864A6"/>
    <w:rsid w:val="005918B2"/>
    <w:rsid w:val="005935DD"/>
    <w:rsid w:val="005B5C13"/>
    <w:rsid w:val="005B5CEC"/>
    <w:rsid w:val="005B6421"/>
    <w:rsid w:val="005C4EFA"/>
    <w:rsid w:val="005D152E"/>
    <w:rsid w:val="00603937"/>
    <w:rsid w:val="006122D6"/>
    <w:rsid w:val="00616EA5"/>
    <w:rsid w:val="00646765"/>
    <w:rsid w:val="00655FF0"/>
    <w:rsid w:val="006710C5"/>
    <w:rsid w:val="006724C0"/>
    <w:rsid w:val="00675511"/>
    <w:rsid w:val="006909B2"/>
    <w:rsid w:val="006B06F9"/>
    <w:rsid w:val="006B2303"/>
    <w:rsid w:val="006B6920"/>
    <w:rsid w:val="006B6A44"/>
    <w:rsid w:val="006C5B56"/>
    <w:rsid w:val="006D259F"/>
    <w:rsid w:val="006D6316"/>
    <w:rsid w:val="006D6A97"/>
    <w:rsid w:val="006F4527"/>
    <w:rsid w:val="006F573A"/>
    <w:rsid w:val="007020AD"/>
    <w:rsid w:val="007061CF"/>
    <w:rsid w:val="00735C46"/>
    <w:rsid w:val="00750156"/>
    <w:rsid w:val="00752B5D"/>
    <w:rsid w:val="007619E1"/>
    <w:rsid w:val="00773829"/>
    <w:rsid w:val="00786DBB"/>
    <w:rsid w:val="007B3D4A"/>
    <w:rsid w:val="007E7838"/>
    <w:rsid w:val="007F0C01"/>
    <w:rsid w:val="00820995"/>
    <w:rsid w:val="00822020"/>
    <w:rsid w:val="0082469A"/>
    <w:rsid w:val="008505CF"/>
    <w:rsid w:val="00850B08"/>
    <w:rsid w:val="00851A30"/>
    <w:rsid w:val="00862DE5"/>
    <w:rsid w:val="008748F9"/>
    <w:rsid w:val="0089601D"/>
    <w:rsid w:val="008A081A"/>
    <w:rsid w:val="008A35B4"/>
    <w:rsid w:val="008B1D85"/>
    <w:rsid w:val="008C00D5"/>
    <w:rsid w:val="008C4B58"/>
    <w:rsid w:val="008F1D6D"/>
    <w:rsid w:val="00901FD9"/>
    <w:rsid w:val="00902BCC"/>
    <w:rsid w:val="00913392"/>
    <w:rsid w:val="0093125C"/>
    <w:rsid w:val="00963221"/>
    <w:rsid w:val="00982558"/>
    <w:rsid w:val="00982F8C"/>
    <w:rsid w:val="00983E62"/>
    <w:rsid w:val="0099302C"/>
    <w:rsid w:val="009B0AB7"/>
    <w:rsid w:val="009B495E"/>
    <w:rsid w:val="009B5D74"/>
    <w:rsid w:val="00A12CBD"/>
    <w:rsid w:val="00A211C9"/>
    <w:rsid w:val="00A31128"/>
    <w:rsid w:val="00A32058"/>
    <w:rsid w:val="00A410D4"/>
    <w:rsid w:val="00A41603"/>
    <w:rsid w:val="00A5518F"/>
    <w:rsid w:val="00A55311"/>
    <w:rsid w:val="00A71B01"/>
    <w:rsid w:val="00A921B0"/>
    <w:rsid w:val="00A97942"/>
    <w:rsid w:val="00AB30F5"/>
    <w:rsid w:val="00AD0E98"/>
    <w:rsid w:val="00B01EAD"/>
    <w:rsid w:val="00B24870"/>
    <w:rsid w:val="00B342A5"/>
    <w:rsid w:val="00B505A4"/>
    <w:rsid w:val="00B56F5F"/>
    <w:rsid w:val="00B712DA"/>
    <w:rsid w:val="00B73B28"/>
    <w:rsid w:val="00B8029D"/>
    <w:rsid w:val="00BA2457"/>
    <w:rsid w:val="00BB2891"/>
    <w:rsid w:val="00BB58F0"/>
    <w:rsid w:val="00BE705C"/>
    <w:rsid w:val="00BE7CDD"/>
    <w:rsid w:val="00BF4C18"/>
    <w:rsid w:val="00BF5A0B"/>
    <w:rsid w:val="00C01C1F"/>
    <w:rsid w:val="00C06C01"/>
    <w:rsid w:val="00C10D1D"/>
    <w:rsid w:val="00C3737F"/>
    <w:rsid w:val="00C37AEE"/>
    <w:rsid w:val="00C43AAF"/>
    <w:rsid w:val="00C456FF"/>
    <w:rsid w:val="00C45C86"/>
    <w:rsid w:val="00C476DB"/>
    <w:rsid w:val="00C60687"/>
    <w:rsid w:val="00C6156E"/>
    <w:rsid w:val="00C66C27"/>
    <w:rsid w:val="00C67613"/>
    <w:rsid w:val="00C752D8"/>
    <w:rsid w:val="00C77A3D"/>
    <w:rsid w:val="00C84615"/>
    <w:rsid w:val="00CA1D7D"/>
    <w:rsid w:val="00CA5600"/>
    <w:rsid w:val="00CB521B"/>
    <w:rsid w:val="00CE1094"/>
    <w:rsid w:val="00CF120C"/>
    <w:rsid w:val="00CF7F93"/>
    <w:rsid w:val="00D071AC"/>
    <w:rsid w:val="00D14566"/>
    <w:rsid w:val="00D212E1"/>
    <w:rsid w:val="00D344AC"/>
    <w:rsid w:val="00D533C6"/>
    <w:rsid w:val="00D61752"/>
    <w:rsid w:val="00D7365B"/>
    <w:rsid w:val="00D97217"/>
    <w:rsid w:val="00DB24A6"/>
    <w:rsid w:val="00DB706A"/>
    <w:rsid w:val="00DE186D"/>
    <w:rsid w:val="00E05163"/>
    <w:rsid w:val="00E05AB8"/>
    <w:rsid w:val="00E1131F"/>
    <w:rsid w:val="00E33B7A"/>
    <w:rsid w:val="00E4154B"/>
    <w:rsid w:val="00E5364A"/>
    <w:rsid w:val="00E545FC"/>
    <w:rsid w:val="00E61FAA"/>
    <w:rsid w:val="00E951E5"/>
    <w:rsid w:val="00EB0FE7"/>
    <w:rsid w:val="00EC15B2"/>
    <w:rsid w:val="00F23921"/>
    <w:rsid w:val="00F30D4D"/>
    <w:rsid w:val="00F366B6"/>
    <w:rsid w:val="00F41B52"/>
    <w:rsid w:val="00F46699"/>
    <w:rsid w:val="00F47BF3"/>
    <w:rsid w:val="00F52A30"/>
    <w:rsid w:val="00F6764B"/>
    <w:rsid w:val="00F8540F"/>
    <w:rsid w:val="00F94B2E"/>
    <w:rsid w:val="00FA5312"/>
    <w:rsid w:val="00FC366B"/>
    <w:rsid w:val="00FC4932"/>
    <w:rsid w:val="00FC575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8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E415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154B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154B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15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154B"/>
    <w:rPr>
      <w:rFonts w:ascii="Arial" w:eastAsia="Lucida Sans Unicode" w:hAnsi="Arial" w:cs="Mangal"/>
      <w:b/>
      <w:bCs/>
      <w:kern w:val="3"/>
      <w:sz w:val="20"/>
      <w:szCs w:val="18"/>
      <w:lang w:eastAsia="zh-CN" w:bidi="hi-IN"/>
    </w:rPr>
  </w:style>
  <w:style w:type="character" w:customStyle="1" w:styleId="T2">
    <w:name w:val="T2"/>
    <w:rsid w:val="00E61FA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uiPriority w:val="99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E415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154B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154B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15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154B"/>
    <w:rPr>
      <w:rFonts w:ascii="Arial" w:eastAsia="Lucida Sans Unicode" w:hAnsi="Arial" w:cs="Mangal"/>
      <w:b/>
      <w:bCs/>
      <w:kern w:val="3"/>
      <w:sz w:val="20"/>
      <w:szCs w:val="18"/>
      <w:lang w:eastAsia="zh-CN" w:bidi="hi-IN"/>
    </w:rPr>
  </w:style>
  <w:style w:type="character" w:customStyle="1" w:styleId="T2">
    <w:name w:val="T2"/>
    <w:rsid w:val="00E61FA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B553-D94C-441C-B42F-2A7A54CF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7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Горленко Марина Михайловна</cp:lastModifiedBy>
  <cp:revision>157</cp:revision>
  <cp:lastPrinted>2023-04-11T02:01:00Z</cp:lastPrinted>
  <dcterms:created xsi:type="dcterms:W3CDTF">2022-02-07T06:16:00Z</dcterms:created>
  <dcterms:modified xsi:type="dcterms:W3CDTF">2024-11-06T04:06:00Z</dcterms:modified>
</cp:coreProperties>
</file>