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517C61">
        <w:rPr>
          <w:rFonts w:ascii="Times New Roman" w:hAnsi="Times New Roman" w:cs="Times New Roman"/>
          <w:b/>
          <w:sz w:val="24"/>
          <w:szCs w:val="28"/>
        </w:rPr>
        <w:t>в</w:t>
      </w:r>
      <w:r w:rsidR="00517C61" w:rsidRPr="00517C61">
        <w:rPr>
          <w:rFonts w:ascii="Times New Roman" w:hAnsi="Times New Roman" w:cs="Times New Roman"/>
          <w:b/>
          <w:sz w:val="24"/>
          <w:szCs w:val="28"/>
        </w:rPr>
        <w:t xml:space="preserve">ыполнение работ </w:t>
      </w:r>
      <w:r w:rsidR="00327B78" w:rsidRPr="00327B78">
        <w:rPr>
          <w:rFonts w:ascii="Times New Roman" w:hAnsi="Times New Roman" w:cs="Times New Roman"/>
          <w:b/>
          <w:sz w:val="24"/>
          <w:szCs w:val="28"/>
        </w:rPr>
        <w:t>по изготовлению протеза бедра модульного с микропроцессорным управлением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1039E4">
        <w:rPr>
          <w:rFonts w:ascii="Times New Roman" w:hAnsi="Times New Roman" w:cs="Times New Roman"/>
          <w:b/>
          <w:sz w:val="24"/>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C558C3" w:rsidRPr="00C558C3">
        <w:rPr>
          <w:rFonts w:ascii="Times New Roman" w:hAnsi="Times New Roman" w:cs="Times New Roman"/>
          <w:sz w:val="24"/>
        </w:rPr>
        <w:t xml:space="preserve">г. </w:t>
      </w:r>
      <w:r w:rsidR="00514CCF">
        <w:rPr>
          <w:rFonts w:ascii="Times New Roman" w:hAnsi="Times New Roman" w:cs="Times New Roman"/>
          <w:sz w:val="24"/>
        </w:rPr>
        <w:t>Хабаровске</w:t>
      </w:r>
      <w:r w:rsidR="00C558C3" w:rsidRPr="00C558C3">
        <w:rPr>
          <w:rFonts w:ascii="Times New Roman" w:hAnsi="Times New Roman" w:cs="Times New Roman"/>
          <w:sz w:val="24"/>
        </w:rPr>
        <w:t xml:space="preserve"> 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1039E4">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327B78">
        <w:rPr>
          <w:rFonts w:ascii="Times New Roman" w:hAnsi="Times New Roman" w:cs="Times New Roman"/>
          <w:sz w:val="24"/>
        </w:rPr>
        <w:t>25</w:t>
      </w:r>
      <w:r w:rsidR="008E7BF2">
        <w:rPr>
          <w:rFonts w:ascii="Times New Roman" w:hAnsi="Times New Roman" w:cs="Times New Roman"/>
          <w:sz w:val="24"/>
        </w:rPr>
        <w:t xml:space="preserve"> </w:t>
      </w:r>
      <w:r w:rsidR="00327B78">
        <w:rPr>
          <w:rFonts w:ascii="Times New Roman" w:hAnsi="Times New Roman" w:cs="Times New Roman"/>
          <w:sz w:val="24"/>
        </w:rPr>
        <w:t>ноября</w:t>
      </w:r>
      <w:r w:rsidR="008E7BF2">
        <w:rPr>
          <w:rFonts w:ascii="Times New Roman" w:hAnsi="Times New Roman" w:cs="Times New Roman"/>
          <w:sz w:val="24"/>
        </w:rPr>
        <w:t xml:space="preserve"> 2024 года.</w:t>
      </w:r>
    </w:p>
    <w:p w:rsidR="008E7BF2" w:rsidRDefault="008E7BF2" w:rsidP="00EC74E1">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Pr="008E7BF2">
        <w:rPr>
          <w:rFonts w:ascii="Times New Roman" w:hAnsi="Times New Roman" w:cs="Times New Roman"/>
          <w:sz w:val="24"/>
        </w:rPr>
        <w:t>Срок выполнения работ по обеспечению Получателя протезом должен составлять не более 60 (Шестидесяти) календарных дней с момента обращения Получателя к Исполнителю с направлением, выданным Государственным заказчиком.</w:t>
      </w:r>
    </w:p>
    <w:p w:rsidR="006122D6" w:rsidRPr="006122D6" w:rsidRDefault="00336FD4"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w:t>
      </w:r>
      <w:r w:rsidR="00327B78" w:rsidRPr="00327B78">
        <w:rPr>
          <w:rFonts w:ascii="Times New Roman" w:eastAsia="Arial" w:hAnsi="Times New Roman" w:cs="Times New Roman"/>
          <w:kern w:val="1"/>
          <w:sz w:val="24"/>
          <w:lang w:eastAsia="ar-SA" w:bidi="ar-SA"/>
        </w:rPr>
        <w:t>протез бедра модульн</w:t>
      </w:r>
      <w:r w:rsidR="00327B78">
        <w:rPr>
          <w:rFonts w:ascii="Times New Roman" w:eastAsia="Arial" w:hAnsi="Times New Roman" w:cs="Times New Roman"/>
          <w:kern w:val="1"/>
          <w:sz w:val="24"/>
          <w:lang w:eastAsia="ar-SA" w:bidi="ar-SA"/>
        </w:rPr>
        <w:t>ый</w:t>
      </w:r>
      <w:r w:rsidR="00327B78" w:rsidRPr="00327B78">
        <w:rPr>
          <w:rFonts w:ascii="Times New Roman" w:eastAsia="Arial" w:hAnsi="Times New Roman" w:cs="Times New Roman"/>
          <w:kern w:val="1"/>
          <w:sz w:val="24"/>
          <w:lang w:eastAsia="ar-SA" w:bidi="ar-SA"/>
        </w:rPr>
        <w:t xml:space="preserve"> с микропроцессорным управлением</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Pr>
          <w:rFonts w:ascii="Times New Roman" w:eastAsia="Arial" w:hAnsi="Times New Roman" w:cs="Times New Roman"/>
          <w:kern w:val="1"/>
          <w:sz w:val="24"/>
          <w:lang w:eastAsia="ar-SA" w:bidi="ar-SA"/>
        </w:rPr>
        <w:t xml:space="preserve">(далее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2454A1">
        <w:rPr>
          <w:rFonts w:ascii="Times New Roman" w:eastAsia="Arial" w:hAnsi="Times New Roman" w:cs="Times New Roman"/>
          <w:kern w:val="1"/>
          <w:sz w:val="24"/>
          <w:lang w:eastAsia="ar-SA" w:bidi="ar-SA"/>
        </w:rPr>
        <w:t>е</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2454A1">
        <w:rPr>
          <w:rFonts w:ascii="Times New Roman" w:eastAsia="Arial" w:hAnsi="Times New Roman" w:cs="Times New Roman"/>
          <w:kern w:val="1"/>
          <w:sz w:val="24"/>
          <w:lang w:eastAsia="ar-SA" w:bidi="ar-SA"/>
        </w:rPr>
        <w:t>ем</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Услуги по обучению пользованию протезом нижней конечности»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86A88" w:rsidRPr="006122D6" w:rsidTr="00327B78">
        <w:trPr>
          <w:trHeight w:val="2770"/>
          <w:jc w:val="center"/>
        </w:trPr>
        <w:tc>
          <w:tcPr>
            <w:tcW w:w="562" w:type="dxa"/>
            <w:tcBorders>
              <w:left w:val="single" w:sz="1" w:space="0" w:color="000000"/>
              <w:bottom w:val="single" w:sz="1" w:space="0" w:color="000000"/>
            </w:tcBorders>
          </w:tcPr>
          <w:p w:rsidR="00586A88" w:rsidRPr="00EC74E1" w:rsidRDefault="00586A88"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1F7B57" w:rsidRDefault="00327B78" w:rsidP="000D0477">
            <w:pPr>
              <w:pStyle w:val="P273"/>
              <w:rPr>
                <w:rFonts w:eastAsia="Lucida Sans Unicode" w:cs="Times New Roman"/>
                <w:szCs w:val="24"/>
              </w:rPr>
            </w:pPr>
            <w:r w:rsidRPr="00327B78">
              <w:rPr>
                <w:rFonts w:eastAsia="Lucida Sans Unicode" w:cs="Times New Roman"/>
                <w:szCs w:val="24"/>
              </w:rPr>
              <w:t>Протез бедра модульный с микропроцессорным управлением</w:t>
            </w:r>
          </w:p>
          <w:p w:rsidR="00C87269" w:rsidRPr="00291FCC" w:rsidRDefault="00C87269" w:rsidP="00327B78">
            <w:pPr>
              <w:pStyle w:val="P273"/>
              <w:rPr>
                <w:rFonts w:eastAsia="Lucida Sans Unicode" w:cs="Times New Roman"/>
                <w:szCs w:val="24"/>
              </w:rPr>
            </w:pPr>
            <w:r>
              <w:rPr>
                <w:rFonts w:eastAsia="Lucida Sans Unicode" w:cs="Times New Roman"/>
                <w:szCs w:val="24"/>
              </w:rPr>
              <w:t>8-07-</w:t>
            </w:r>
            <w:r w:rsidR="00327B78">
              <w:rPr>
                <w:rFonts w:eastAsia="Lucida Sans Unicode" w:cs="Times New Roman"/>
                <w:szCs w:val="24"/>
              </w:rPr>
              <w:t>12</w:t>
            </w:r>
          </w:p>
        </w:tc>
        <w:tc>
          <w:tcPr>
            <w:tcW w:w="5954" w:type="dxa"/>
            <w:vAlign w:val="center"/>
          </w:tcPr>
          <w:p w:rsidR="00514CCF" w:rsidRDefault="00514CCF" w:rsidP="00514CCF">
            <w:pPr>
              <w:rPr>
                <w:rFonts w:ascii="Times New Roman" w:hAnsi="Times New Roman"/>
                <w:sz w:val="24"/>
              </w:rPr>
            </w:pPr>
            <w:proofErr w:type="gramStart"/>
            <w:r>
              <w:rPr>
                <w:rFonts w:ascii="Times New Roman" w:hAnsi="Times New Roman"/>
                <w:sz w:val="24"/>
              </w:rPr>
              <w:t xml:space="preserve">Характеристики: 1 функционально – антропометрические данные: 1.1 уровень ампутации: 1.1.2 нижняя треть бедра; 1.2 состояние культи: 1.2.1 функциональная; 1.3 уровень активности: 1.3.3 3-4; 1.5 протезирование: 1.5.2 повторное; 1.4 вес пациента, кг: 105; </w:t>
            </w:r>
            <w:proofErr w:type="gramEnd"/>
          </w:p>
          <w:p w:rsidR="00514CCF" w:rsidRDefault="00514CCF" w:rsidP="00514CCF">
            <w:pPr>
              <w:rPr>
                <w:rFonts w:ascii="Times New Roman" w:hAnsi="Times New Roman"/>
                <w:sz w:val="24"/>
              </w:rPr>
            </w:pPr>
            <w:r>
              <w:rPr>
                <w:rFonts w:ascii="Times New Roman" w:hAnsi="Times New Roman"/>
                <w:sz w:val="24"/>
              </w:rPr>
              <w:t xml:space="preserve">2 приемная гильза: 2.1 наименование разновидности модуля (узла, элемента): 2.1.1 приемная гильза; 2.2 конструктивные особенности модуля (узла, элемента): 2.2.1 жесткая; </w:t>
            </w:r>
          </w:p>
          <w:p w:rsidR="00514CCF" w:rsidRDefault="00514CCF" w:rsidP="00514CCF">
            <w:pPr>
              <w:rPr>
                <w:rFonts w:ascii="Times New Roman" w:hAnsi="Times New Roman"/>
                <w:sz w:val="24"/>
              </w:rPr>
            </w:pPr>
            <w:r>
              <w:rPr>
                <w:rFonts w:ascii="Times New Roman" w:hAnsi="Times New Roman"/>
                <w:sz w:val="24"/>
              </w:rPr>
              <w:t>3 вкладные элементы: 3.1 наименование разновидности модуля (узла, элемента): 3.1.1 вкладная гильза из силикона;</w:t>
            </w:r>
          </w:p>
          <w:p w:rsidR="00514CCF" w:rsidRDefault="00514CCF" w:rsidP="00514CCF">
            <w:pPr>
              <w:rPr>
                <w:rFonts w:ascii="Times New Roman" w:hAnsi="Times New Roman"/>
                <w:sz w:val="24"/>
              </w:rPr>
            </w:pPr>
            <w:r>
              <w:rPr>
                <w:rFonts w:ascii="Times New Roman" w:hAnsi="Times New Roman"/>
                <w:sz w:val="24"/>
              </w:rPr>
              <w:lastRenderedPageBreak/>
              <w:t xml:space="preserve"> </w:t>
            </w:r>
            <w:proofErr w:type="gramStart"/>
            <w:r>
              <w:rPr>
                <w:rFonts w:ascii="Times New Roman" w:hAnsi="Times New Roman"/>
                <w:sz w:val="24"/>
              </w:rPr>
              <w:t xml:space="preserve">4 стопа: 4.1 наименование разновидности модуля (узла, элемента): 4.1.1 стопа; 4.2 конструктивные особенности модуля (узла, элемента): 4.2.4 стопа из композиционных материалов (энергосберегающая); </w:t>
            </w:r>
            <w:proofErr w:type="gramEnd"/>
          </w:p>
          <w:p w:rsidR="00514CCF" w:rsidRDefault="00514CCF" w:rsidP="00514CCF">
            <w:pPr>
              <w:rPr>
                <w:rFonts w:ascii="Times New Roman" w:hAnsi="Times New Roman"/>
                <w:sz w:val="24"/>
              </w:rPr>
            </w:pPr>
            <w:r>
              <w:rPr>
                <w:rFonts w:ascii="Times New Roman" w:hAnsi="Times New Roman"/>
                <w:sz w:val="24"/>
              </w:rPr>
              <w:t xml:space="preserve">5 коленный модуль: 5.1 наименование разновидности модуля (узла, элемента): 5.1.1 коленный модуль; 5.2 конструктивные особенности модуля (узла, элемента): 5.2.2 коленный модуль с микропроцессорным управлением влагозащищенный; </w:t>
            </w:r>
          </w:p>
          <w:p w:rsidR="00514CCF" w:rsidRDefault="00514CCF" w:rsidP="00514CCF">
            <w:pPr>
              <w:rPr>
                <w:rFonts w:ascii="Times New Roman" w:hAnsi="Times New Roman"/>
                <w:sz w:val="24"/>
              </w:rPr>
            </w:pPr>
            <w:r>
              <w:rPr>
                <w:rFonts w:ascii="Times New Roman" w:hAnsi="Times New Roman"/>
                <w:sz w:val="24"/>
              </w:rPr>
              <w:t xml:space="preserve">6 дополнительный компонент (модуль) протеза: 6.1 наименование разновидности модуля (узла, элемента): 6.1.4 поворотное устройство; </w:t>
            </w:r>
          </w:p>
          <w:p w:rsidR="00514CCF" w:rsidRDefault="00514CCF" w:rsidP="00514CCF">
            <w:pPr>
              <w:rPr>
                <w:rFonts w:ascii="Times New Roman" w:hAnsi="Times New Roman"/>
                <w:sz w:val="24"/>
              </w:rPr>
            </w:pPr>
            <w:proofErr w:type="gramStart"/>
            <w:r>
              <w:rPr>
                <w:rFonts w:ascii="Times New Roman" w:hAnsi="Times New Roman"/>
                <w:sz w:val="24"/>
              </w:rPr>
              <w:t xml:space="preserve">7 крепление: 7.1 наименование разновидности модуля (узла, элемента): 7.1.1 крепление; 7.2 конструктивные особенности модуля (узла, элемента): 7.2.1 вакуумное крепление; </w:t>
            </w:r>
            <w:proofErr w:type="gramEnd"/>
          </w:p>
          <w:p w:rsidR="00586A88" w:rsidRPr="00514CCF" w:rsidRDefault="00514CCF" w:rsidP="00514CCF">
            <w:pPr>
              <w:rPr>
                <w:rFonts w:ascii="Times New Roman" w:hAnsi="Times New Roman"/>
                <w:sz w:val="24"/>
              </w:rPr>
            </w:pPr>
            <w:r>
              <w:rPr>
                <w:rFonts w:ascii="Times New Roman" w:hAnsi="Times New Roman"/>
                <w:sz w:val="24"/>
              </w:rPr>
              <w:t>8 отделочные косметические элементы: 8.1 наименование разновидности модуля (узла, эле</w:t>
            </w:r>
            <w:r>
              <w:rPr>
                <w:rFonts w:ascii="Times New Roman" w:hAnsi="Times New Roman"/>
                <w:sz w:val="24"/>
              </w:rPr>
              <w:t>мента): 8.1.1 жесткая облицовка</w:t>
            </w:r>
          </w:p>
        </w:tc>
        <w:tc>
          <w:tcPr>
            <w:tcW w:w="1248" w:type="dxa"/>
          </w:tcPr>
          <w:p w:rsidR="00586A88" w:rsidRPr="006122D6" w:rsidRDefault="002454A1"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935904" w:rsidRPr="006122D6" w:rsidTr="00BA3993">
        <w:trPr>
          <w:trHeight w:val="246"/>
          <w:jc w:val="center"/>
        </w:trPr>
        <w:tc>
          <w:tcPr>
            <w:tcW w:w="8784" w:type="dxa"/>
            <w:gridSpan w:val="3"/>
          </w:tcPr>
          <w:p w:rsidR="00935904" w:rsidRPr="006122D6" w:rsidRDefault="0093590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lastRenderedPageBreak/>
              <w:t>ИТОГО:</w:t>
            </w:r>
          </w:p>
        </w:tc>
        <w:tc>
          <w:tcPr>
            <w:tcW w:w="1248" w:type="dxa"/>
            <w:vAlign w:val="center"/>
          </w:tcPr>
          <w:p w:rsidR="00935904" w:rsidRPr="006122D6" w:rsidRDefault="002454A1"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 долж</w:t>
      </w:r>
      <w:r w:rsidR="00B05C3C">
        <w:rPr>
          <w:rFonts w:ascii="Times New Roman" w:eastAsia="Times New Roman" w:hAnsi="Times New Roman" w:cs="Times New Roman"/>
          <w:kern w:val="0"/>
          <w:sz w:val="24"/>
          <w:lang w:eastAsia="ru-RU" w:bidi="ar-SA"/>
        </w:rPr>
        <w:t>ен</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B05C3C">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B05C3C">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w:t>
      </w:r>
      <w:r w:rsidR="00B05C3C">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B05C3C">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B05C3C">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B05C3C">
        <w:rPr>
          <w:rFonts w:ascii="Times New Roman" w:eastAsia="Times New Roman" w:hAnsi="Times New Roman" w:cs="Times New Roman"/>
          <w:kern w:val="0"/>
          <w:sz w:val="24"/>
          <w:lang w:eastAsia="ru-RU" w:bidi="ar-SA"/>
        </w:rPr>
        <w:t>а</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B05C3C">
        <w:rPr>
          <w:rFonts w:ascii="Times New Roman" w:eastAsia="Times New Roman" w:hAnsi="Times New Roman" w:cs="Times New Roman"/>
          <w:kern w:val="0"/>
          <w:sz w:val="24"/>
          <w:lang w:eastAsia="ru-RU" w:bidi="ar-SA"/>
        </w:rPr>
        <w:t>а</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2C674A" w:rsidP="002C674A">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C3CBD">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Протез долж</w:t>
      </w:r>
      <w:r w:rsidR="00B05C3C">
        <w:rPr>
          <w:rFonts w:ascii="Times New Roman" w:eastAsia="Times New Roman" w:hAnsi="Times New Roman" w:cs="Times New Roman"/>
          <w:kern w:val="0"/>
          <w:sz w:val="24"/>
          <w:lang w:eastAsia="ru-RU" w:bidi="ar-SA"/>
        </w:rPr>
        <w:t>ен</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xml:space="preserve">», ГОСТ ISO 10993-10-2023 «Изделия медицинские. Оценка </w:t>
      </w:r>
      <w:r w:rsidR="00DE6EAC" w:rsidRPr="00DE6EAC">
        <w:rPr>
          <w:rFonts w:ascii="Times New Roman" w:eastAsia="Times New Roman" w:hAnsi="Times New Roman" w:cs="Times New Roman"/>
          <w:kern w:val="0"/>
          <w:sz w:val="24"/>
          <w:lang w:eastAsia="ru-RU" w:bidi="ar-SA"/>
        </w:rPr>
        <w:lastRenderedPageBreak/>
        <w:t>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bookmarkStart w:id="0" w:name="_GoBack"/>
      <w:bookmarkEnd w:id="0"/>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4CCF"/>
    <w:rsid w:val="0051765D"/>
    <w:rsid w:val="00517C61"/>
    <w:rsid w:val="0052308D"/>
    <w:rsid w:val="0054690C"/>
    <w:rsid w:val="00555D6D"/>
    <w:rsid w:val="00563E8C"/>
    <w:rsid w:val="005708AB"/>
    <w:rsid w:val="005773BB"/>
    <w:rsid w:val="00586A88"/>
    <w:rsid w:val="00586BB5"/>
    <w:rsid w:val="005918B2"/>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BB0"/>
    <w:rsid w:val="00735C46"/>
    <w:rsid w:val="00746500"/>
    <w:rsid w:val="00752B5D"/>
    <w:rsid w:val="007619E1"/>
    <w:rsid w:val="007709C2"/>
    <w:rsid w:val="007805AD"/>
    <w:rsid w:val="0078696C"/>
    <w:rsid w:val="00786DBB"/>
    <w:rsid w:val="007E7838"/>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3EB1"/>
    <w:rsid w:val="00B05C3C"/>
    <w:rsid w:val="00B342A5"/>
    <w:rsid w:val="00B53AF2"/>
    <w:rsid w:val="00B6053F"/>
    <w:rsid w:val="00B73B28"/>
    <w:rsid w:val="00B8029D"/>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558C3"/>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722245120">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33C2-9C77-4FB9-8BF9-F884FB0B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3</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Горленко Марина Михайловна</cp:lastModifiedBy>
  <cp:revision>227</cp:revision>
  <cp:lastPrinted>2024-01-22T06:58:00Z</cp:lastPrinted>
  <dcterms:created xsi:type="dcterms:W3CDTF">2022-02-07T06:16:00Z</dcterms:created>
  <dcterms:modified xsi:type="dcterms:W3CDTF">2024-07-30T04:27:00Z</dcterms:modified>
</cp:coreProperties>
</file>