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587" w:rsidRDefault="00A67587" w:rsidP="00A67587">
      <w:pPr>
        <w:tabs>
          <w:tab w:val="left" w:pos="6735"/>
        </w:tabs>
        <w:ind w:firstLine="176"/>
        <w:jc w:val="both"/>
      </w:pPr>
      <w:r>
        <w:t xml:space="preserve">Оценка заявок на участие в электронном конкурсе осуществляется в соответствии со ст. 32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hyperlink r:id="rId4" w:anchor="P34" w:history="1">
        <w:r>
          <w:rPr>
            <w:rStyle w:val="a3"/>
            <w:color w:val="auto"/>
            <w:u w:val="none"/>
          </w:rPr>
          <w:t>Положение</w:t>
        </w:r>
      </w:hyperlink>
      <w:r>
        <w:t>м об оценке заявок на участие в закупке товаров, работ, услуг для обеспечения государственных и муниципальных нужд, утвержденным постановлением Правительства Российской Федерации от 31.12.2021 № 2604.</w:t>
      </w:r>
    </w:p>
    <w:p w:rsidR="00A67587" w:rsidRDefault="00A67587" w:rsidP="00A67587">
      <w:pPr>
        <w:widowControl w:val="0"/>
        <w:tabs>
          <w:tab w:val="left" w:pos="6735"/>
        </w:tabs>
        <w:ind w:firstLine="176"/>
        <w:jc w:val="both"/>
      </w:pPr>
    </w:p>
    <w:p w:rsidR="00A67587" w:rsidRDefault="00A67587" w:rsidP="00A67587">
      <w:pPr>
        <w:widowControl w:val="0"/>
        <w:tabs>
          <w:tab w:val="left" w:pos="6735"/>
        </w:tabs>
        <w:ind w:firstLine="176"/>
        <w:jc w:val="both"/>
      </w:pPr>
      <w:r>
        <w:t>Оценка заявок на участие в электронном конкурсе осуществляется с использованием следующих критериев оценки:</w:t>
      </w:r>
    </w:p>
    <w:p w:rsidR="00A67587" w:rsidRDefault="00A67587" w:rsidP="00A67587">
      <w:pPr>
        <w:widowControl w:val="0"/>
        <w:tabs>
          <w:tab w:val="left" w:pos="6735"/>
        </w:tabs>
        <w:ind w:firstLine="176"/>
        <w:jc w:val="both"/>
      </w:pPr>
      <w:r>
        <w:t>а) цена контракта, сумма цен единиц товара, работы, услуги;</w:t>
      </w:r>
    </w:p>
    <w:p w:rsidR="00A67587" w:rsidRDefault="00A67587" w:rsidP="00A67587">
      <w:pPr>
        <w:widowControl w:val="0"/>
        <w:tabs>
          <w:tab w:val="left" w:pos="6735"/>
        </w:tabs>
        <w:ind w:firstLine="176"/>
        <w:jc w:val="both"/>
        <w:rPr>
          <w:highlight w:val="yellow"/>
        </w:rPr>
      </w:pPr>
      <w:r>
        <w:t>б) квалификация участника закупки.</w:t>
      </w:r>
    </w:p>
    <w:p w:rsidR="00A67587" w:rsidRDefault="00A67587" w:rsidP="00A67587">
      <w:pPr>
        <w:widowControl w:val="0"/>
        <w:tabs>
          <w:tab w:val="left" w:pos="6735"/>
        </w:tabs>
        <w:ind w:firstLine="176"/>
        <w:jc w:val="both"/>
      </w:pPr>
    </w:p>
    <w:p w:rsidR="00A67587" w:rsidRDefault="00A67587" w:rsidP="00A67587">
      <w:pPr>
        <w:widowControl w:val="0"/>
        <w:tabs>
          <w:tab w:val="left" w:pos="6735"/>
        </w:tabs>
        <w:ind w:firstLine="176"/>
        <w:jc w:val="both"/>
      </w:pPr>
      <w:r>
        <w:t>Каждому из критериев оценки устанавливается значимость критерия оценки, выраженная в процентах:</w:t>
      </w:r>
    </w:p>
    <w:p w:rsidR="00A67587" w:rsidRDefault="00A67587" w:rsidP="00A67587">
      <w:pPr>
        <w:widowControl w:val="0"/>
        <w:tabs>
          <w:tab w:val="left" w:pos="6735"/>
        </w:tabs>
        <w:ind w:firstLine="176"/>
        <w:jc w:val="both"/>
      </w:pPr>
      <w:r>
        <w:t>а) цена контракта, сумма цен единиц товара, работы, услуги – 60%;</w:t>
      </w:r>
    </w:p>
    <w:p w:rsidR="00A67587" w:rsidRDefault="00A67587" w:rsidP="00A67587">
      <w:pPr>
        <w:widowControl w:val="0"/>
        <w:tabs>
          <w:tab w:val="left" w:pos="6735"/>
        </w:tabs>
        <w:ind w:firstLine="176"/>
        <w:jc w:val="both"/>
      </w:pPr>
      <w:r>
        <w:t>б) квалификация участников закупки– 40%.</w:t>
      </w:r>
    </w:p>
    <w:p w:rsidR="00A67587" w:rsidRDefault="00A67587" w:rsidP="00A67587">
      <w:pPr>
        <w:widowControl w:val="0"/>
        <w:tabs>
          <w:tab w:val="left" w:pos="6735"/>
        </w:tabs>
        <w:ind w:firstLine="176"/>
        <w:jc w:val="both"/>
      </w:pPr>
      <w:r>
        <w:t>Сумма величин значимости всех критериев оценки, предусмотренных извещением об осуществлении закупки, составляет 100%.</w:t>
      </w:r>
    </w:p>
    <w:p w:rsidR="00A67587" w:rsidRDefault="00A67587" w:rsidP="00A67587">
      <w:pPr>
        <w:widowControl w:val="0"/>
        <w:tabs>
          <w:tab w:val="left" w:pos="6735"/>
        </w:tabs>
        <w:ind w:firstLine="176"/>
        <w:jc w:val="both"/>
      </w:pPr>
      <w:r>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A67587" w:rsidRDefault="00A67587" w:rsidP="00A67587">
      <w:pPr>
        <w:pStyle w:val="ConsPlusNormal0"/>
        <w:jc w:val="both"/>
        <w:rPr>
          <w:rFonts w:ascii="Times New Roman" w:hAnsi="Times New Roman" w:cs="Times New Roman"/>
          <w:b/>
          <w:sz w:val="24"/>
          <w:szCs w:val="24"/>
        </w:rPr>
      </w:pPr>
    </w:p>
    <w:p w:rsidR="00A67587" w:rsidRDefault="00A67587" w:rsidP="00A67587">
      <w:pPr>
        <w:pStyle w:val="ConsPlusNormal0"/>
        <w:jc w:val="center"/>
        <w:rPr>
          <w:rFonts w:ascii="Times New Roman" w:hAnsi="Times New Roman" w:cs="Times New Roman"/>
          <w:b/>
          <w:sz w:val="24"/>
          <w:szCs w:val="24"/>
        </w:rPr>
      </w:pPr>
      <w:r>
        <w:rPr>
          <w:rFonts w:ascii="Times New Roman" w:hAnsi="Times New Roman" w:cs="Times New Roman"/>
          <w:b/>
          <w:sz w:val="24"/>
          <w:szCs w:val="24"/>
        </w:rPr>
        <w:t>ПОРЯДОК рассмотрения и оценки заявок на участие в электронном конкурсе</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2"/>
        <w:gridCol w:w="1988"/>
        <w:gridCol w:w="2552"/>
        <w:gridCol w:w="1275"/>
        <w:gridCol w:w="1560"/>
        <w:gridCol w:w="1984"/>
      </w:tblGrid>
      <w:tr w:rsidR="00A67587" w:rsidTr="00BC343A">
        <w:trPr>
          <w:cantSplit/>
          <w:trHeight w:val="2577"/>
        </w:trPr>
        <w:tc>
          <w:tcPr>
            <w:tcW w:w="422" w:type="dxa"/>
            <w:tcBorders>
              <w:top w:val="single" w:sz="4" w:space="0" w:color="auto"/>
              <w:left w:val="single" w:sz="4" w:space="0" w:color="auto"/>
              <w:bottom w:val="single" w:sz="4" w:space="0" w:color="auto"/>
              <w:right w:val="single" w:sz="4" w:space="0" w:color="auto"/>
            </w:tcBorders>
            <w:textDirection w:val="btLr"/>
            <w:vAlign w:val="center"/>
            <w:hideMark/>
          </w:tcPr>
          <w:p w:rsidR="00A67587" w:rsidRDefault="00A67587" w:rsidP="00101289">
            <w:pPr>
              <w:widowControl w:val="0"/>
              <w:suppressAutoHyphens w:val="0"/>
              <w:ind w:left="-62" w:right="-40" w:firstLine="6"/>
              <w:jc w:val="center"/>
              <w:rPr>
                <w:b/>
                <w:sz w:val="20"/>
                <w:szCs w:val="20"/>
              </w:rPr>
            </w:pPr>
            <w:r>
              <w:rPr>
                <w:b/>
                <w:sz w:val="20"/>
                <w:szCs w:val="20"/>
              </w:rPr>
              <w:t>Номер критерия</w:t>
            </w:r>
          </w:p>
        </w:tc>
        <w:tc>
          <w:tcPr>
            <w:tcW w:w="1988" w:type="dxa"/>
            <w:tcBorders>
              <w:top w:val="single" w:sz="4" w:space="0" w:color="auto"/>
              <w:left w:val="single" w:sz="4" w:space="0" w:color="auto"/>
              <w:bottom w:val="single" w:sz="4" w:space="0" w:color="auto"/>
              <w:right w:val="single" w:sz="4" w:space="0" w:color="auto"/>
            </w:tcBorders>
            <w:textDirection w:val="btLr"/>
            <w:vAlign w:val="center"/>
            <w:hideMark/>
          </w:tcPr>
          <w:p w:rsidR="00A67587" w:rsidRDefault="00A67587" w:rsidP="00101289">
            <w:pPr>
              <w:widowControl w:val="0"/>
              <w:suppressAutoHyphens w:val="0"/>
              <w:ind w:left="-62" w:right="-40" w:firstLine="6"/>
              <w:jc w:val="center"/>
              <w:rPr>
                <w:b/>
                <w:sz w:val="20"/>
                <w:szCs w:val="20"/>
              </w:rPr>
            </w:pPr>
            <w:r>
              <w:rPr>
                <w:b/>
                <w:sz w:val="20"/>
                <w:szCs w:val="20"/>
              </w:rPr>
              <w:t>Критерии оценки заявок</w:t>
            </w:r>
          </w:p>
          <w:p w:rsidR="00A67587" w:rsidRDefault="00A67587" w:rsidP="00101289">
            <w:pPr>
              <w:widowControl w:val="0"/>
              <w:suppressAutoHyphens w:val="0"/>
              <w:ind w:left="-62" w:right="-40" w:firstLine="6"/>
              <w:jc w:val="center"/>
              <w:rPr>
                <w:b/>
                <w:sz w:val="20"/>
                <w:szCs w:val="20"/>
              </w:rPr>
            </w:pPr>
            <w:r>
              <w:rPr>
                <w:b/>
                <w:sz w:val="20"/>
                <w:szCs w:val="20"/>
              </w:rPr>
              <w:t>на участие в электронном конкурсе</w:t>
            </w:r>
          </w:p>
        </w:tc>
        <w:tc>
          <w:tcPr>
            <w:tcW w:w="2552" w:type="dxa"/>
            <w:tcBorders>
              <w:top w:val="single" w:sz="4" w:space="0" w:color="auto"/>
              <w:left w:val="single" w:sz="4" w:space="0" w:color="auto"/>
              <w:bottom w:val="single" w:sz="4" w:space="0" w:color="auto"/>
              <w:right w:val="single" w:sz="4" w:space="0" w:color="auto"/>
            </w:tcBorders>
            <w:textDirection w:val="btLr"/>
            <w:vAlign w:val="center"/>
            <w:hideMark/>
          </w:tcPr>
          <w:p w:rsidR="00A67587" w:rsidRDefault="00A67587" w:rsidP="00101289">
            <w:pPr>
              <w:widowControl w:val="0"/>
              <w:suppressAutoHyphens w:val="0"/>
              <w:ind w:left="-62" w:right="-40" w:firstLine="6"/>
              <w:jc w:val="center"/>
              <w:rPr>
                <w:b/>
                <w:sz w:val="20"/>
                <w:szCs w:val="20"/>
              </w:rPr>
            </w:pPr>
            <w:r>
              <w:rPr>
                <w:b/>
                <w:sz w:val="20"/>
                <w:szCs w:val="20"/>
              </w:rPr>
              <w:t>Показатели оценки заявок на участие в электронном конкурсе</w:t>
            </w: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A67587" w:rsidRDefault="00A67587" w:rsidP="00101289">
            <w:pPr>
              <w:widowControl w:val="0"/>
              <w:suppressAutoHyphens w:val="0"/>
              <w:ind w:left="-62" w:right="-40" w:firstLine="6"/>
              <w:jc w:val="center"/>
              <w:rPr>
                <w:b/>
                <w:sz w:val="20"/>
                <w:szCs w:val="20"/>
              </w:rPr>
            </w:pPr>
            <w:r>
              <w:rPr>
                <w:b/>
                <w:sz w:val="20"/>
                <w:szCs w:val="20"/>
              </w:rPr>
              <w:t>Значимость критерия оценки, в (%)</w:t>
            </w:r>
          </w:p>
        </w:tc>
        <w:tc>
          <w:tcPr>
            <w:tcW w:w="1560" w:type="dxa"/>
            <w:tcBorders>
              <w:top w:val="single" w:sz="4" w:space="0" w:color="auto"/>
              <w:left w:val="single" w:sz="4" w:space="0" w:color="auto"/>
              <w:bottom w:val="single" w:sz="4" w:space="0" w:color="auto"/>
              <w:right w:val="single" w:sz="4" w:space="0" w:color="auto"/>
            </w:tcBorders>
            <w:textDirection w:val="btLr"/>
            <w:vAlign w:val="center"/>
            <w:hideMark/>
          </w:tcPr>
          <w:p w:rsidR="00A67587" w:rsidRDefault="00A67587" w:rsidP="00101289">
            <w:pPr>
              <w:widowControl w:val="0"/>
              <w:suppressAutoHyphens w:val="0"/>
              <w:ind w:left="-62" w:right="-40" w:firstLine="6"/>
              <w:jc w:val="center"/>
              <w:rPr>
                <w:b/>
                <w:sz w:val="20"/>
                <w:szCs w:val="20"/>
              </w:rPr>
            </w:pPr>
            <w:r>
              <w:rPr>
                <w:b/>
                <w:sz w:val="20"/>
                <w:szCs w:val="20"/>
              </w:rPr>
              <w:t>Значимость</w:t>
            </w:r>
          </w:p>
          <w:p w:rsidR="00A67587" w:rsidRDefault="00A67587" w:rsidP="00101289">
            <w:pPr>
              <w:widowControl w:val="0"/>
              <w:suppressAutoHyphens w:val="0"/>
              <w:ind w:left="-62" w:right="-40" w:firstLine="6"/>
              <w:jc w:val="center"/>
              <w:rPr>
                <w:b/>
                <w:sz w:val="20"/>
                <w:szCs w:val="20"/>
              </w:rPr>
            </w:pPr>
            <w:r>
              <w:rPr>
                <w:b/>
                <w:sz w:val="20"/>
                <w:szCs w:val="20"/>
              </w:rPr>
              <w:t>показателя оценки, в %</w:t>
            </w:r>
          </w:p>
        </w:tc>
        <w:tc>
          <w:tcPr>
            <w:tcW w:w="1984" w:type="dxa"/>
            <w:tcBorders>
              <w:top w:val="single" w:sz="4" w:space="0" w:color="auto"/>
              <w:left w:val="single" w:sz="4" w:space="0" w:color="auto"/>
              <w:bottom w:val="single" w:sz="4" w:space="0" w:color="auto"/>
              <w:right w:val="single" w:sz="4" w:space="0" w:color="auto"/>
            </w:tcBorders>
            <w:textDirection w:val="btLr"/>
            <w:vAlign w:val="center"/>
            <w:hideMark/>
          </w:tcPr>
          <w:p w:rsidR="00A67587" w:rsidRDefault="00A67587" w:rsidP="00101289">
            <w:pPr>
              <w:widowControl w:val="0"/>
              <w:suppressAutoHyphens w:val="0"/>
              <w:ind w:left="-62" w:right="-40" w:firstLine="6"/>
              <w:jc w:val="center"/>
              <w:rPr>
                <w:b/>
                <w:sz w:val="20"/>
                <w:szCs w:val="20"/>
              </w:rPr>
            </w:pPr>
            <w:r>
              <w:rPr>
                <w:b/>
                <w:sz w:val="20"/>
                <w:szCs w:val="20"/>
              </w:rPr>
              <w:t>Обозначение рейтинга по критерию/показателю</w:t>
            </w:r>
          </w:p>
        </w:tc>
      </w:tr>
      <w:tr w:rsidR="00A67587" w:rsidTr="00BC343A">
        <w:tc>
          <w:tcPr>
            <w:tcW w:w="422" w:type="dxa"/>
            <w:tcBorders>
              <w:top w:val="single" w:sz="4" w:space="0" w:color="auto"/>
              <w:left w:val="single" w:sz="4" w:space="0" w:color="auto"/>
              <w:bottom w:val="single" w:sz="4" w:space="0" w:color="auto"/>
              <w:right w:val="single" w:sz="4" w:space="0" w:color="auto"/>
            </w:tcBorders>
            <w:vAlign w:val="center"/>
            <w:hideMark/>
          </w:tcPr>
          <w:p w:rsidR="00A67587" w:rsidRDefault="00A67587" w:rsidP="00101289">
            <w:pPr>
              <w:widowControl w:val="0"/>
              <w:suppressAutoHyphens w:val="0"/>
              <w:ind w:left="-62" w:right="-40" w:firstLine="6"/>
              <w:jc w:val="both"/>
              <w:rPr>
                <w:sz w:val="20"/>
                <w:szCs w:val="20"/>
              </w:rPr>
            </w:pPr>
            <w:r>
              <w:rPr>
                <w:sz w:val="20"/>
                <w:szCs w:val="20"/>
              </w:rPr>
              <w:t>1.</w:t>
            </w:r>
          </w:p>
        </w:tc>
        <w:tc>
          <w:tcPr>
            <w:tcW w:w="1988" w:type="dxa"/>
            <w:tcBorders>
              <w:top w:val="single" w:sz="4" w:space="0" w:color="auto"/>
              <w:left w:val="single" w:sz="4" w:space="0" w:color="auto"/>
              <w:bottom w:val="single" w:sz="4" w:space="0" w:color="auto"/>
              <w:right w:val="single" w:sz="4" w:space="0" w:color="auto"/>
            </w:tcBorders>
            <w:vAlign w:val="center"/>
            <w:hideMark/>
          </w:tcPr>
          <w:p w:rsidR="00A67587" w:rsidRDefault="00A67587" w:rsidP="00101289">
            <w:pPr>
              <w:widowControl w:val="0"/>
              <w:suppressAutoHyphens w:val="0"/>
              <w:ind w:left="-62" w:right="-40" w:firstLine="6"/>
              <w:rPr>
                <w:sz w:val="20"/>
                <w:szCs w:val="20"/>
              </w:rPr>
            </w:pPr>
            <w:r>
              <w:rPr>
                <w:sz w:val="20"/>
                <w:szCs w:val="20"/>
              </w:rPr>
              <w:t>Цена контракта, сумма цен единиц товара, работы, услуги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A67587" w:rsidRDefault="00A67587" w:rsidP="00101289">
            <w:pPr>
              <w:widowControl w:val="0"/>
              <w:suppressAutoHyphens w:val="0"/>
              <w:ind w:left="-62" w:right="-40" w:firstLine="6"/>
              <w:rPr>
                <w:sz w:val="20"/>
                <w:szCs w:val="20"/>
              </w:rPr>
            </w:pPr>
            <w:r>
              <w:rPr>
                <w:sz w:val="20"/>
                <w:szCs w:val="20"/>
              </w:rPr>
              <w:t>Предложение участников закупки в отношении цены государственного контракта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A67587" w:rsidRDefault="00A67587" w:rsidP="00BC343A">
            <w:pPr>
              <w:widowControl w:val="0"/>
              <w:suppressAutoHyphens w:val="0"/>
              <w:ind w:left="-62" w:right="-40" w:firstLine="6"/>
              <w:jc w:val="center"/>
              <w:rPr>
                <w:sz w:val="20"/>
                <w:szCs w:val="20"/>
                <w:lang w:val="en-US"/>
              </w:rPr>
            </w:pPr>
            <w:r>
              <w:rPr>
                <w:sz w:val="20"/>
                <w:szCs w:val="20"/>
              </w:rPr>
              <w:t>6</w:t>
            </w:r>
            <w:r>
              <w:rPr>
                <w:sz w:val="20"/>
                <w:szCs w:val="20"/>
                <w:lang w:val="en-US"/>
              </w:rPr>
              <w:t>0</w:t>
            </w:r>
          </w:p>
        </w:tc>
        <w:tc>
          <w:tcPr>
            <w:tcW w:w="1560" w:type="dxa"/>
            <w:tcBorders>
              <w:top w:val="single" w:sz="4" w:space="0" w:color="auto"/>
              <w:left w:val="single" w:sz="4" w:space="0" w:color="auto"/>
              <w:bottom w:val="single" w:sz="4" w:space="0" w:color="auto"/>
              <w:right w:val="single" w:sz="4" w:space="0" w:color="auto"/>
            </w:tcBorders>
            <w:vAlign w:val="center"/>
          </w:tcPr>
          <w:p w:rsidR="00A67587" w:rsidRDefault="00A67587" w:rsidP="00BC343A">
            <w:pPr>
              <w:widowControl w:val="0"/>
              <w:suppressAutoHyphens w:val="0"/>
              <w:ind w:left="-62" w:right="-40" w:firstLine="6"/>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A67587" w:rsidRDefault="00A67587" w:rsidP="00BC343A">
            <w:pPr>
              <w:widowControl w:val="0"/>
              <w:suppressAutoHyphens w:val="0"/>
              <w:ind w:left="-62" w:right="-40" w:firstLine="6"/>
              <w:jc w:val="center"/>
              <w:rPr>
                <w:b/>
                <w:sz w:val="20"/>
                <w:szCs w:val="20"/>
                <w:lang w:val="en-US"/>
              </w:rPr>
            </w:pPr>
            <w:proofErr w:type="spellStart"/>
            <w:r>
              <w:rPr>
                <w:sz w:val="20"/>
                <w:szCs w:val="20"/>
              </w:rPr>
              <w:t>БЦ</w:t>
            </w:r>
            <w:r>
              <w:rPr>
                <w:sz w:val="20"/>
                <w:szCs w:val="20"/>
                <w:vertAlign w:val="subscript"/>
              </w:rPr>
              <w:t>i</w:t>
            </w:r>
            <w:proofErr w:type="spellEnd"/>
          </w:p>
        </w:tc>
      </w:tr>
      <w:tr w:rsidR="00A67587" w:rsidTr="00BC343A">
        <w:tc>
          <w:tcPr>
            <w:tcW w:w="422" w:type="dxa"/>
            <w:tcBorders>
              <w:top w:val="single" w:sz="4" w:space="0" w:color="auto"/>
              <w:left w:val="single" w:sz="4" w:space="0" w:color="auto"/>
              <w:bottom w:val="single" w:sz="4" w:space="0" w:color="auto"/>
              <w:right w:val="single" w:sz="4" w:space="0" w:color="auto"/>
            </w:tcBorders>
            <w:vAlign w:val="center"/>
            <w:hideMark/>
          </w:tcPr>
          <w:p w:rsidR="00A67587" w:rsidRDefault="00A67587" w:rsidP="00101289">
            <w:pPr>
              <w:widowControl w:val="0"/>
              <w:suppressAutoHyphens w:val="0"/>
              <w:ind w:left="-62" w:right="-40" w:firstLine="6"/>
              <w:jc w:val="both"/>
              <w:rPr>
                <w:sz w:val="20"/>
                <w:szCs w:val="20"/>
              </w:rPr>
            </w:pPr>
            <w:r>
              <w:rPr>
                <w:sz w:val="20"/>
                <w:szCs w:val="20"/>
              </w:rPr>
              <w:t>2.</w:t>
            </w:r>
          </w:p>
        </w:tc>
        <w:tc>
          <w:tcPr>
            <w:tcW w:w="1988" w:type="dxa"/>
            <w:tcBorders>
              <w:top w:val="single" w:sz="4" w:space="0" w:color="auto"/>
              <w:left w:val="single" w:sz="4" w:space="0" w:color="auto"/>
              <w:bottom w:val="single" w:sz="4" w:space="0" w:color="auto"/>
              <w:right w:val="single" w:sz="4" w:space="0" w:color="auto"/>
            </w:tcBorders>
            <w:vAlign w:val="center"/>
            <w:hideMark/>
          </w:tcPr>
          <w:p w:rsidR="00A67587" w:rsidRDefault="00A67587" w:rsidP="00101289">
            <w:pPr>
              <w:widowControl w:val="0"/>
              <w:suppressAutoHyphens w:val="0"/>
              <w:ind w:left="-62" w:right="-40" w:firstLine="6"/>
              <w:rPr>
                <w:sz w:val="20"/>
                <w:szCs w:val="20"/>
              </w:rPr>
            </w:pPr>
            <w:r>
              <w:rPr>
                <w:sz w:val="20"/>
                <w:szCs w:val="20"/>
              </w:rPr>
              <w:t>Квалификация участников закупки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A67587" w:rsidRDefault="00A67587" w:rsidP="00101289">
            <w:pPr>
              <w:widowControl w:val="0"/>
              <w:suppressAutoHyphens w:val="0"/>
              <w:ind w:left="-62" w:right="-40" w:firstLine="6"/>
              <w:rPr>
                <w:sz w:val="20"/>
                <w:szCs w:val="20"/>
              </w:rPr>
            </w:pPr>
            <w:r>
              <w:rPr>
                <w:sz w:val="20"/>
                <w:szCs w:val="20"/>
              </w:rPr>
              <w:t>Наличие у участников закупки опыта выполнения работ, связанных с предметом контракта.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A67587" w:rsidRDefault="00A67587" w:rsidP="00BC343A">
            <w:pPr>
              <w:widowControl w:val="0"/>
              <w:suppressAutoHyphens w:val="0"/>
              <w:ind w:left="-62" w:right="-40" w:firstLine="6"/>
              <w:jc w:val="center"/>
              <w:rPr>
                <w:sz w:val="20"/>
                <w:szCs w:val="20"/>
                <w:lang w:val="en-US"/>
              </w:rPr>
            </w:pPr>
            <w:r>
              <w:rPr>
                <w:sz w:val="20"/>
                <w:szCs w:val="20"/>
              </w:rPr>
              <w:t>4</w:t>
            </w:r>
            <w:r>
              <w:rPr>
                <w:sz w:val="20"/>
                <w:szCs w:val="20"/>
                <w:lang w:val="en-US"/>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A67587" w:rsidRDefault="00A67587" w:rsidP="00BC343A">
            <w:pPr>
              <w:widowControl w:val="0"/>
              <w:suppressAutoHyphens w:val="0"/>
              <w:ind w:left="-62" w:right="-40" w:firstLine="6"/>
              <w:jc w:val="center"/>
              <w:rPr>
                <w:sz w:val="20"/>
                <w:szCs w:val="20"/>
              </w:rPr>
            </w:pPr>
            <w:r>
              <w:rPr>
                <w:sz w:val="20"/>
                <w:szCs w:val="20"/>
              </w:rPr>
              <w:t>100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A67587" w:rsidRDefault="00A67587" w:rsidP="00BC343A">
            <w:pPr>
              <w:widowControl w:val="0"/>
              <w:suppressAutoHyphens w:val="0"/>
              <w:ind w:left="-62" w:right="-40" w:firstLine="6"/>
              <w:jc w:val="center"/>
              <w:rPr>
                <w:b/>
                <w:sz w:val="20"/>
                <w:szCs w:val="20"/>
                <w:lang w:val="en-US"/>
              </w:rPr>
            </w:pPr>
            <w:proofErr w:type="spellStart"/>
            <w:r>
              <w:rPr>
                <w:sz w:val="20"/>
                <w:szCs w:val="20"/>
              </w:rPr>
              <w:t>БХ</w:t>
            </w:r>
            <w:r>
              <w:rPr>
                <w:sz w:val="20"/>
                <w:szCs w:val="20"/>
                <w:vertAlign w:val="subscript"/>
              </w:rPr>
              <w:t>i</w:t>
            </w:r>
            <w:proofErr w:type="spellEnd"/>
          </w:p>
        </w:tc>
      </w:tr>
      <w:tr w:rsidR="00A67587" w:rsidTr="00BC343A">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A67587" w:rsidRDefault="00A67587" w:rsidP="00101289">
            <w:pPr>
              <w:widowControl w:val="0"/>
              <w:suppressAutoHyphens w:val="0"/>
              <w:ind w:left="-62" w:right="-40" w:firstLine="6"/>
              <w:rPr>
                <w:sz w:val="20"/>
                <w:szCs w:val="20"/>
              </w:rPr>
            </w:pPr>
            <w:r>
              <w:rPr>
                <w:sz w:val="20"/>
                <w:szCs w:val="20"/>
              </w:rPr>
              <w:t>Совокупная значимость всех критериев оценки в процентах</w:t>
            </w:r>
          </w:p>
        </w:tc>
        <w:tc>
          <w:tcPr>
            <w:tcW w:w="2552" w:type="dxa"/>
            <w:tcBorders>
              <w:top w:val="single" w:sz="4" w:space="0" w:color="auto"/>
              <w:left w:val="single" w:sz="4" w:space="0" w:color="auto"/>
              <w:bottom w:val="single" w:sz="4" w:space="0" w:color="auto"/>
              <w:right w:val="single" w:sz="4" w:space="0" w:color="auto"/>
            </w:tcBorders>
            <w:vAlign w:val="center"/>
          </w:tcPr>
          <w:p w:rsidR="00A67587" w:rsidRDefault="00A67587" w:rsidP="00101289">
            <w:pPr>
              <w:widowControl w:val="0"/>
              <w:suppressAutoHyphens w:val="0"/>
              <w:ind w:left="-62" w:right="-40" w:firstLine="6"/>
              <w:rPr>
                <w:sz w:val="20"/>
                <w:szCs w:val="20"/>
              </w:rPr>
            </w:pPr>
          </w:p>
        </w:tc>
        <w:tc>
          <w:tcPr>
            <w:tcW w:w="4819" w:type="dxa"/>
            <w:gridSpan w:val="3"/>
            <w:tcBorders>
              <w:top w:val="single" w:sz="4" w:space="0" w:color="auto"/>
              <w:left w:val="single" w:sz="4" w:space="0" w:color="auto"/>
              <w:bottom w:val="single" w:sz="4" w:space="0" w:color="auto"/>
              <w:right w:val="single" w:sz="4" w:space="0" w:color="auto"/>
            </w:tcBorders>
            <w:vAlign w:val="center"/>
            <w:hideMark/>
          </w:tcPr>
          <w:p w:rsidR="00A67587" w:rsidRDefault="00A67587" w:rsidP="00BC343A">
            <w:pPr>
              <w:widowControl w:val="0"/>
              <w:suppressAutoHyphens w:val="0"/>
              <w:ind w:left="-62" w:right="-40" w:firstLine="6"/>
              <w:jc w:val="center"/>
              <w:rPr>
                <w:sz w:val="20"/>
                <w:szCs w:val="20"/>
              </w:rPr>
            </w:pPr>
            <w:r>
              <w:rPr>
                <w:sz w:val="20"/>
                <w:szCs w:val="20"/>
              </w:rPr>
              <w:t>100</w:t>
            </w:r>
          </w:p>
        </w:tc>
      </w:tr>
    </w:tbl>
    <w:p w:rsidR="00A67587" w:rsidRDefault="00A67587" w:rsidP="00A67587">
      <w:pPr>
        <w:widowControl w:val="0"/>
        <w:ind w:left="-61" w:right="-39" w:firstLine="5"/>
        <w:jc w:val="both"/>
      </w:pPr>
    </w:p>
    <w:p w:rsidR="00A67587" w:rsidRDefault="00A67587" w:rsidP="00A67587">
      <w:pPr>
        <w:widowControl w:val="0"/>
        <w:ind w:right="-39" w:firstLine="176"/>
        <w:jc w:val="both"/>
        <w:rPr>
          <w:b/>
        </w:rPr>
      </w:pPr>
      <w:r>
        <w:rPr>
          <w:b/>
        </w:rPr>
        <w:t>1. Оценка заявок по критерию «Цена контракта, сумма цен единиц товара, работы, услуги».</w:t>
      </w:r>
    </w:p>
    <w:p w:rsidR="00A67587" w:rsidRDefault="00A67587" w:rsidP="00A67587">
      <w:pPr>
        <w:widowControl w:val="0"/>
        <w:ind w:right="-39" w:firstLine="176"/>
        <w:jc w:val="both"/>
      </w:pPr>
      <w:r>
        <w:t>Значимость критерия оценки – 60 %</w:t>
      </w:r>
    </w:p>
    <w:p w:rsidR="00A67587" w:rsidRDefault="00A67587" w:rsidP="00A67587">
      <w:pPr>
        <w:widowControl w:val="0"/>
        <w:ind w:right="-39" w:firstLine="176"/>
        <w:jc w:val="both"/>
      </w:pPr>
      <w:r>
        <w:t>Оценка критерия (баллы): – 100</w:t>
      </w:r>
    </w:p>
    <w:p w:rsidR="00A67587" w:rsidRDefault="00A67587" w:rsidP="00A67587">
      <w:pPr>
        <w:widowControl w:val="0"/>
        <w:ind w:right="-39" w:firstLine="176"/>
        <w:jc w:val="both"/>
      </w:pPr>
      <w:r>
        <w:t>Количество баллов, присуждаемых по критерию оценки «цена контракта, сумма цен единиц товара, работы, услуги», определяется по формуле:</w:t>
      </w:r>
    </w:p>
    <w:p w:rsidR="00A67587" w:rsidRDefault="00A67587" w:rsidP="00A67587">
      <w:pPr>
        <w:pStyle w:val="ConsPlusNormal0"/>
        <w:ind w:firstLine="176"/>
        <w:jc w:val="both"/>
        <w:rPr>
          <w:rFonts w:ascii="Times New Roman" w:hAnsi="Times New Roman" w:cs="Times New Roman"/>
          <w:sz w:val="24"/>
          <w:szCs w:val="24"/>
        </w:rPr>
      </w:pPr>
      <w:r>
        <w:rPr>
          <w:rFonts w:ascii="Times New Roman" w:hAnsi="Times New Roman" w:cs="Times New Roman"/>
          <w:sz w:val="24"/>
          <w:szCs w:val="24"/>
        </w:rPr>
        <w:t>Значение количества баллов по критерию оценки "цена контракта, сумма цен единиц товара, работы, услуги", присваиваемое заявке, которая подлежит оценке по указанному критерию оценки, (</w:t>
      </w:r>
      <w:proofErr w:type="spellStart"/>
      <w:r>
        <w:rPr>
          <w:rFonts w:ascii="Times New Roman" w:hAnsi="Times New Roman" w:cs="Times New Roman"/>
          <w:sz w:val="24"/>
          <w:szCs w:val="24"/>
        </w:rPr>
        <w:t>БЦ</w:t>
      </w:r>
      <w:r>
        <w:rPr>
          <w:rFonts w:ascii="Times New Roman" w:hAnsi="Times New Roman" w:cs="Times New Roman"/>
          <w:sz w:val="24"/>
          <w:szCs w:val="24"/>
          <w:vertAlign w:val="subscript"/>
        </w:rPr>
        <w:t>i</w:t>
      </w:r>
      <w:proofErr w:type="spellEnd"/>
      <w:r>
        <w:rPr>
          <w:rFonts w:ascii="Times New Roman" w:hAnsi="Times New Roman" w:cs="Times New Roman"/>
          <w:sz w:val="24"/>
          <w:szCs w:val="24"/>
        </w:rPr>
        <w:t>) определяется по формуле:</w:t>
      </w:r>
    </w:p>
    <w:p w:rsidR="00A67587" w:rsidRDefault="00A67587" w:rsidP="00A67587">
      <w:pPr>
        <w:pStyle w:val="ConsPlusNormal0"/>
        <w:ind w:firstLine="176"/>
        <w:jc w:val="both"/>
        <w:rPr>
          <w:rFonts w:ascii="Times New Roman" w:hAnsi="Times New Roman" w:cs="Times New Roman"/>
          <w:sz w:val="24"/>
          <w:szCs w:val="24"/>
        </w:rPr>
      </w:pPr>
    </w:p>
    <w:p w:rsidR="00A67587" w:rsidRDefault="00A67587" w:rsidP="00A67587">
      <w:pPr>
        <w:pStyle w:val="ConsPlusNormal0"/>
        <w:ind w:firstLine="176"/>
        <w:jc w:val="both"/>
        <w:rPr>
          <w:rFonts w:ascii="Times New Roman" w:hAnsi="Times New Roman" w:cs="Times New Roman"/>
          <w:sz w:val="24"/>
          <w:szCs w:val="24"/>
        </w:rPr>
      </w:pPr>
      <w:r>
        <w:rPr>
          <w:rFonts w:ascii="Times New Roman" w:hAnsi="Times New Roman" w:cs="Times New Roman"/>
          <w:noProof/>
          <w:position w:val="-31"/>
          <w:sz w:val="24"/>
          <w:szCs w:val="24"/>
          <w:lang w:eastAsia="ru-RU"/>
        </w:rPr>
        <w:lastRenderedPageBreak/>
        <w:drawing>
          <wp:inline distT="0" distB="0" distL="0" distR="0" wp14:anchorId="5FCB5900" wp14:editId="17224DA3">
            <wp:extent cx="1847850" cy="533400"/>
            <wp:effectExtent l="0" t="0" r="0" b="0"/>
            <wp:docPr id="4" name="Рисунок 4" descr="base_1_40614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base_1_406141_32768"/>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7850" cy="533400"/>
                    </a:xfrm>
                    <a:prstGeom prst="rect">
                      <a:avLst/>
                    </a:prstGeom>
                    <a:noFill/>
                    <a:ln>
                      <a:noFill/>
                    </a:ln>
                  </pic:spPr>
                </pic:pic>
              </a:graphicData>
            </a:graphic>
          </wp:inline>
        </w:drawing>
      </w:r>
    </w:p>
    <w:p w:rsidR="00A67587" w:rsidRDefault="00A67587" w:rsidP="00A67587">
      <w:pPr>
        <w:pStyle w:val="ConsPlusNormal0"/>
        <w:ind w:firstLine="176"/>
        <w:jc w:val="both"/>
        <w:rPr>
          <w:rFonts w:ascii="Times New Roman" w:hAnsi="Times New Roman" w:cs="Times New Roman"/>
          <w:sz w:val="24"/>
          <w:szCs w:val="24"/>
        </w:rPr>
      </w:pPr>
      <w:r>
        <w:rPr>
          <w:rFonts w:ascii="Times New Roman" w:hAnsi="Times New Roman" w:cs="Times New Roman"/>
          <w:sz w:val="24"/>
          <w:szCs w:val="24"/>
        </w:rPr>
        <w:t>где:</w:t>
      </w:r>
    </w:p>
    <w:p w:rsidR="00A67587" w:rsidRDefault="00A67587" w:rsidP="00A67587">
      <w:pPr>
        <w:pStyle w:val="ConsPlusNormal0"/>
        <w:spacing w:before="220"/>
        <w:ind w:firstLine="176"/>
        <w:jc w:val="both"/>
        <w:rPr>
          <w:rFonts w:ascii="Times New Roman" w:hAnsi="Times New Roman" w:cs="Times New Roman"/>
          <w:sz w:val="24"/>
          <w:szCs w:val="24"/>
        </w:rPr>
      </w:pPr>
      <w:proofErr w:type="spellStart"/>
      <w:r>
        <w:rPr>
          <w:rFonts w:ascii="Times New Roman" w:hAnsi="Times New Roman" w:cs="Times New Roman"/>
          <w:sz w:val="24"/>
          <w:szCs w:val="24"/>
        </w:rPr>
        <w:t>Ц</w:t>
      </w:r>
      <w:r>
        <w:rPr>
          <w:rFonts w:ascii="Times New Roman" w:hAnsi="Times New Roman" w:cs="Times New Roman"/>
          <w:sz w:val="24"/>
          <w:szCs w:val="24"/>
          <w:vertAlign w:val="subscript"/>
        </w:rPr>
        <w:t>i</w:t>
      </w:r>
      <w:proofErr w:type="spellEnd"/>
      <w:r>
        <w:rPr>
          <w:rFonts w:ascii="Times New Roman" w:hAnsi="Times New Roman" w:cs="Times New Roman"/>
          <w:sz w:val="24"/>
          <w:szCs w:val="24"/>
        </w:rPr>
        <w:t xml:space="preserve"> - предложение участника закупки о цене контракта, или о сумме цен всех контрактов, заключаемых по результатам проведения электронного конкурса</w:t>
      </w:r>
      <w:r>
        <w:rPr>
          <w:rFonts w:ascii="Times New Roman" w:hAnsi="Times New Roman" w:cs="Times New Roman"/>
          <w:color w:val="000000"/>
          <w:sz w:val="24"/>
          <w:szCs w:val="24"/>
        </w:rPr>
        <w:t xml:space="preserve">, или о сумме цен единиц товара, работы, услуги (в случае, предусмотренном </w:t>
      </w:r>
      <w:hyperlink r:id="rId6" w:history="1">
        <w:r>
          <w:rPr>
            <w:rStyle w:val="a3"/>
            <w:rFonts w:ascii="Times New Roman" w:hAnsi="Times New Roman" w:cs="Times New Roman"/>
            <w:color w:val="000000"/>
            <w:sz w:val="24"/>
            <w:szCs w:val="24"/>
            <w:u w:val="none"/>
          </w:rPr>
          <w:t>частью 24 статьи 22</w:t>
        </w:r>
      </w:hyperlink>
      <w:r>
        <w:rPr>
          <w:rFonts w:ascii="Times New Roman" w:hAnsi="Times New Roman" w:cs="Times New Roman"/>
          <w:color w:val="000000"/>
          <w:sz w:val="24"/>
          <w:szCs w:val="24"/>
        </w:rPr>
        <w:t xml:space="preserve"> Закона </w:t>
      </w:r>
      <w:r>
        <w:rPr>
          <w:rFonts w:ascii="Times New Roman" w:hAnsi="Times New Roman" w:cs="Times New Roman"/>
          <w:sz w:val="24"/>
          <w:szCs w:val="24"/>
        </w:rPr>
        <w:t>о контрактной системе), заявка (часть заявки) которого подлежит в соответствии с Законом о контрактной системе оценке по критерию оценки "цена контракта, сумма цен единиц товара, работы, услуги" (далее - ценовое предложение);</w:t>
      </w:r>
    </w:p>
    <w:p w:rsidR="00A67587" w:rsidRDefault="00A67587" w:rsidP="00A67587">
      <w:pPr>
        <w:pStyle w:val="ConsPlusNormal0"/>
        <w:spacing w:before="220"/>
        <w:ind w:firstLine="176"/>
        <w:jc w:val="both"/>
        <w:rPr>
          <w:rFonts w:ascii="Times New Roman" w:hAnsi="Times New Roman" w:cs="Times New Roman"/>
          <w:sz w:val="24"/>
          <w:szCs w:val="24"/>
        </w:rPr>
      </w:pPr>
      <w:proofErr w:type="spellStart"/>
      <w:r>
        <w:rPr>
          <w:rFonts w:ascii="Times New Roman" w:hAnsi="Times New Roman" w:cs="Times New Roman"/>
          <w:sz w:val="24"/>
          <w:szCs w:val="24"/>
        </w:rPr>
        <w:t>Ц</w:t>
      </w:r>
      <w:r>
        <w:rPr>
          <w:rFonts w:ascii="Times New Roman" w:hAnsi="Times New Roman" w:cs="Times New Roman"/>
          <w:sz w:val="24"/>
          <w:szCs w:val="24"/>
          <w:vertAlign w:val="subscript"/>
        </w:rPr>
        <w:t>л</w:t>
      </w:r>
      <w:proofErr w:type="spellEnd"/>
      <w:r>
        <w:rPr>
          <w:rFonts w:ascii="Times New Roman" w:hAnsi="Times New Roman" w:cs="Times New Roman"/>
          <w:sz w:val="24"/>
          <w:szCs w:val="24"/>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критерию оценки "цена контракта, сумма цен единиц товара, работы, услуги".</w:t>
      </w:r>
    </w:p>
    <w:p w:rsidR="00A67587" w:rsidRDefault="00A67587" w:rsidP="00A67587">
      <w:pPr>
        <w:pStyle w:val="ConsPlusNormal0"/>
        <w:spacing w:before="220"/>
        <w:ind w:firstLine="176"/>
        <w:jc w:val="both"/>
        <w:rPr>
          <w:rFonts w:ascii="Times New Roman" w:hAnsi="Times New Roman" w:cs="Times New Roman"/>
          <w:sz w:val="24"/>
          <w:szCs w:val="24"/>
        </w:rPr>
      </w:pPr>
      <w:r>
        <w:rPr>
          <w:rFonts w:ascii="Times New Roman" w:hAnsi="Times New Roman" w:cs="Times New Roman"/>
          <w:sz w:val="24"/>
          <w:szCs w:val="24"/>
        </w:rPr>
        <w:t xml:space="preserve">Если при проведении процедуры подачи </w:t>
      </w:r>
      <w:r>
        <w:rPr>
          <w:rFonts w:ascii="Times New Roman" w:hAnsi="Times New Roman" w:cs="Times New Roman"/>
          <w:color w:val="000000"/>
          <w:sz w:val="24"/>
          <w:szCs w:val="24"/>
        </w:rPr>
        <w:t xml:space="preserve">предложений о цене контракта либо о сумме цен единиц товара, работы, услуги (в случае, предусмотренном </w:t>
      </w:r>
      <w:hyperlink r:id="rId7" w:history="1">
        <w:r>
          <w:rPr>
            <w:rStyle w:val="a3"/>
            <w:rFonts w:ascii="Times New Roman" w:hAnsi="Times New Roman" w:cs="Times New Roman"/>
            <w:color w:val="000000"/>
            <w:sz w:val="24"/>
            <w:szCs w:val="24"/>
            <w:u w:val="none"/>
          </w:rPr>
          <w:t>частью 24 статьи 22</w:t>
        </w:r>
      </w:hyperlink>
      <w:r>
        <w:rPr>
          <w:rFonts w:ascii="Times New Roman" w:hAnsi="Times New Roman" w:cs="Times New Roman"/>
          <w:color w:val="000000"/>
          <w:sz w:val="24"/>
          <w:szCs w:val="24"/>
        </w:rPr>
        <w:t xml:space="preserve"> Закона о контрактной системе) в соответствии с Законом о контрактной системе подано ценовое предложение, предусматривающее снижение таких цены контракта либо суммы цен </w:t>
      </w:r>
      <w:r>
        <w:rPr>
          <w:rFonts w:ascii="Times New Roman" w:hAnsi="Times New Roman" w:cs="Times New Roman"/>
          <w:sz w:val="24"/>
          <w:szCs w:val="24"/>
        </w:rPr>
        <w:t>ниже нуля, значение количества баллов по критерию оценки "цена контракта, сумма цен единиц товара, работы, услуги" (</w:t>
      </w:r>
      <w:proofErr w:type="spellStart"/>
      <w:r>
        <w:rPr>
          <w:rFonts w:ascii="Times New Roman" w:hAnsi="Times New Roman" w:cs="Times New Roman"/>
          <w:sz w:val="24"/>
          <w:szCs w:val="24"/>
        </w:rPr>
        <w:t>БЦ</w:t>
      </w:r>
      <w:r>
        <w:rPr>
          <w:rFonts w:ascii="Times New Roman" w:hAnsi="Times New Roman" w:cs="Times New Roman"/>
          <w:sz w:val="24"/>
          <w:szCs w:val="24"/>
          <w:vertAlign w:val="subscript"/>
        </w:rPr>
        <w:t>i</w:t>
      </w:r>
      <w:proofErr w:type="spellEnd"/>
      <w:r>
        <w:rPr>
          <w:rFonts w:ascii="Times New Roman" w:hAnsi="Times New Roman" w:cs="Times New Roman"/>
          <w:sz w:val="24"/>
          <w:szCs w:val="24"/>
        </w:rPr>
        <w:t>) определяется в следующем порядке:</w:t>
      </w:r>
    </w:p>
    <w:p w:rsidR="00A67587" w:rsidRDefault="00A67587" w:rsidP="00A67587">
      <w:pPr>
        <w:pStyle w:val="ConsPlusNormal0"/>
        <w:spacing w:before="220"/>
        <w:ind w:firstLine="176"/>
        <w:jc w:val="both"/>
        <w:rPr>
          <w:rFonts w:ascii="Times New Roman" w:hAnsi="Times New Roman" w:cs="Times New Roman"/>
          <w:sz w:val="24"/>
          <w:szCs w:val="24"/>
        </w:rPr>
      </w:pPr>
      <w:r>
        <w:rPr>
          <w:rFonts w:ascii="Times New Roman" w:hAnsi="Times New Roman" w:cs="Times New Roman"/>
          <w:sz w:val="24"/>
          <w:szCs w:val="24"/>
        </w:rPr>
        <w:t>а) для оценки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Pr>
          <w:rFonts w:ascii="Times New Roman" w:hAnsi="Times New Roman" w:cs="Times New Roman"/>
          <w:sz w:val="24"/>
          <w:szCs w:val="24"/>
        </w:rPr>
        <w:t>БЦ</w:t>
      </w:r>
      <w:r>
        <w:rPr>
          <w:rFonts w:ascii="Times New Roman" w:hAnsi="Times New Roman" w:cs="Times New Roman"/>
          <w:sz w:val="24"/>
          <w:szCs w:val="24"/>
          <w:vertAlign w:val="subscript"/>
        </w:rPr>
        <w:t>i</w:t>
      </w:r>
      <w:proofErr w:type="spellEnd"/>
      <w:r>
        <w:rPr>
          <w:rFonts w:ascii="Times New Roman" w:hAnsi="Times New Roman" w:cs="Times New Roman"/>
          <w:sz w:val="24"/>
          <w:szCs w:val="24"/>
        </w:rPr>
        <w:t>) определяется по формуле:</w:t>
      </w:r>
    </w:p>
    <w:p w:rsidR="00A67587" w:rsidRDefault="00A67587" w:rsidP="00A67587">
      <w:pPr>
        <w:pStyle w:val="ConsPlusNormal0"/>
        <w:ind w:firstLine="176"/>
        <w:jc w:val="both"/>
        <w:rPr>
          <w:rFonts w:ascii="Times New Roman" w:hAnsi="Times New Roman" w:cs="Times New Roman"/>
          <w:sz w:val="24"/>
          <w:szCs w:val="24"/>
        </w:rPr>
      </w:pPr>
    </w:p>
    <w:p w:rsidR="00A67587" w:rsidRDefault="00A67587" w:rsidP="00A67587">
      <w:pPr>
        <w:pStyle w:val="ConsPlusNormal0"/>
        <w:ind w:firstLine="176"/>
        <w:jc w:val="both"/>
        <w:rPr>
          <w:rFonts w:ascii="Times New Roman" w:hAnsi="Times New Roman" w:cs="Times New Roman"/>
          <w:sz w:val="24"/>
          <w:szCs w:val="24"/>
        </w:rPr>
      </w:pPr>
      <w:r>
        <w:rPr>
          <w:rFonts w:ascii="Times New Roman" w:hAnsi="Times New Roman" w:cs="Times New Roman"/>
          <w:noProof/>
          <w:position w:val="-31"/>
          <w:sz w:val="24"/>
          <w:szCs w:val="24"/>
          <w:lang w:eastAsia="ru-RU"/>
        </w:rPr>
        <w:drawing>
          <wp:inline distT="0" distB="0" distL="0" distR="0" wp14:anchorId="1A092AA1" wp14:editId="6CB50FBE">
            <wp:extent cx="2228850" cy="533400"/>
            <wp:effectExtent l="0" t="0" r="0" b="0"/>
            <wp:docPr id="5" name="Рисунок 5" descr="base_1_40614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_406141_32769"/>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533400"/>
                    </a:xfrm>
                    <a:prstGeom prst="rect">
                      <a:avLst/>
                    </a:prstGeom>
                    <a:noFill/>
                    <a:ln>
                      <a:noFill/>
                    </a:ln>
                  </pic:spPr>
                </pic:pic>
              </a:graphicData>
            </a:graphic>
          </wp:inline>
        </w:drawing>
      </w:r>
    </w:p>
    <w:p w:rsidR="00A67587" w:rsidRDefault="00A67587" w:rsidP="00A67587">
      <w:pPr>
        <w:pStyle w:val="ConsPlusNormal0"/>
        <w:ind w:firstLine="176"/>
        <w:jc w:val="both"/>
        <w:rPr>
          <w:rFonts w:ascii="Times New Roman" w:hAnsi="Times New Roman" w:cs="Times New Roman"/>
          <w:sz w:val="24"/>
          <w:szCs w:val="24"/>
        </w:rPr>
      </w:pPr>
    </w:p>
    <w:p w:rsidR="00A67587" w:rsidRDefault="00A67587" w:rsidP="00A67587">
      <w:pPr>
        <w:pStyle w:val="ConsPlusNormal0"/>
        <w:ind w:firstLine="176"/>
        <w:jc w:val="both"/>
        <w:rPr>
          <w:rFonts w:ascii="Times New Roman" w:hAnsi="Times New Roman" w:cs="Times New Roman"/>
          <w:color w:val="000000"/>
          <w:sz w:val="24"/>
          <w:szCs w:val="24"/>
        </w:rPr>
      </w:pPr>
      <w:r>
        <w:rPr>
          <w:rFonts w:ascii="Times New Roman" w:hAnsi="Times New Roman" w:cs="Times New Roman"/>
          <w:sz w:val="24"/>
          <w:szCs w:val="24"/>
        </w:rPr>
        <w:t xml:space="preserve">где </w:t>
      </w:r>
      <w:proofErr w:type="spellStart"/>
      <w:r>
        <w:rPr>
          <w:rFonts w:ascii="Times New Roman" w:hAnsi="Times New Roman" w:cs="Times New Roman"/>
          <w:sz w:val="24"/>
          <w:szCs w:val="24"/>
        </w:rPr>
        <w:t>Ц</w:t>
      </w:r>
      <w:r>
        <w:rPr>
          <w:rFonts w:ascii="Times New Roman" w:hAnsi="Times New Roman" w:cs="Times New Roman"/>
          <w:sz w:val="24"/>
          <w:szCs w:val="24"/>
          <w:vertAlign w:val="subscript"/>
        </w:rPr>
        <w:t>нач</w:t>
      </w:r>
      <w:proofErr w:type="spellEnd"/>
      <w:r>
        <w:rPr>
          <w:rFonts w:ascii="Times New Roman" w:hAnsi="Times New Roman" w:cs="Times New Roman"/>
          <w:sz w:val="24"/>
          <w:szCs w:val="24"/>
        </w:rPr>
        <w:t xml:space="preserve"> - начальная (максимальная) цена контракта</w:t>
      </w:r>
      <w:r>
        <w:rPr>
          <w:rFonts w:ascii="Times New Roman" w:hAnsi="Times New Roman" w:cs="Times New Roman"/>
          <w:color w:val="000000"/>
          <w:sz w:val="24"/>
          <w:szCs w:val="24"/>
        </w:rPr>
        <w:t xml:space="preserve">, или начальная сумма цен единиц товаров, работ, услуг (в случае, предусмотренном </w:t>
      </w:r>
      <w:hyperlink r:id="rId9" w:history="1">
        <w:r>
          <w:rPr>
            <w:rStyle w:val="a3"/>
            <w:rFonts w:ascii="Times New Roman" w:hAnsi="Times New Roman" w:cs="Times New Roman"/>
            <w:color w:val="000000"/>
            <w:sz w:val="24"/>
            <w:szCs w:val="24"/>
            <w:u w:val="none"/>
          </w:rPr>
          <w:t>частью 24 статьи 22</w:t>
        </w:r>
      </w:hyperlink>
      <w:r>
        <w:rPr>
          <w:rFonts w:ascii="Times New Roman" w:hAnsi="Times New Roman" w:cs="Times New Roman"/>
          <w:color w:val="000000"/>
          <w:sz w:val="24"/>
          <w:szCs w:val="24"/>
        </w:rPr>
        <w:t xml:space="preserve"> Закона о контрактной системе);</w:t>
      </w:r>
    </w:p>
    <w:p w:rsidR="00A67587" w:rsidRDefault="00A67587" w:rsidP="00A67587">
      <w:pPr>
        <w:pStyle w:val="ConsPlusNormal0"/>
        <w:spacing w:before="220"/>
        <w:ind w:firstLine="176"/>
        <w:jc w:val="both"/>
        <w:rPr>
          <w:rFonts w:ascii="Times New Roman" w:hAnsi="Times New Roman" w:cs="Times New Roman"/>
          <w:sz w:val="24"/>
          <w:szCs w:val="24"/>
        </w:rPr>
      </w:pPr>
      <w:proofErr w:type="spellStart"/>
      <w:r>
        <w:rPr>
          <w:rFonts w:ascii="Times New Roman" w:hAnsi="Times New Roman" w:cs="Times New Roman"/>
          <w:color w:val="000000"/>
          <w:sz w:val="24"/>
          <w:szCs w:val="24"/>
        </w:rPr>
        <w:t>Ц</w:t>
      </w:r>
      <w:r>
        <w:rPr>
          <w:rFonts w:ascii="Times New Roman" w:hAnsi="Times New Roman" w:cs="Times New Roman"/>
          <w:color w:val="000000"/>
          <w:sz w:val="24"/>
          <w:szCs w:val="24"/>
          <w:vertAlign w:val="subscript"/>
        </w:rPr>
        <w:t>i</w:t>
      </w:r>
      <w:proofErr w:type="spellEnd"/>
      <w:r>
        <w:rPr>
          <w:rFonts w:ascii="Times New Roman" w:hAnsi="Times New Roman" w:cs="Times New Roman"/>
          <w:color w:val="000000"/>
          <w:sz w:val="24"/>
          <w:szCs w:val="24"/>
        </w:rPr>
        <w:t xml:space="preserve"> - предложение участника закупки о цене контракта, или о сумме цен всех контрактов, заключаемых по результатам проведения электронного конкурса, или о сумме цен единиц товара, работы, услуги (в случае, предусмотренном </w:t>
      </w:r>
      <w:hyperlink r:id="rId10" w:history="1">
        <w:r>
          <w:rPr>
            <w:rStyle w:val="a3"/>
            <w:rFonts w:ascii="Times New Roman" w:hAnsi="Times New Roman" w:cs="Times New Roman"/>
            <w:color w:val="000000"/>
            <w:sz w:val="24"/>
            <w:szCs w:val="24"/>
            <w:u w:val="none"/>
          </w:rPr>
          <w:t>частью 24 статьи 22</w:t>
        </w:r>
      </w:hyperlink>
      <w:r>
        <w:rPr>
          <w:rFonts w:ascii="Times New Roman" w:hAnsi="Times New Roman" w:cs="Times New Roman"/>
          <w:color w:val="000000"/>
          <w:sz w:val="24"/>
          <w:szCs w:val="24"/>
        </w:rPr>
        <w:t xml:space="preserve"> Закона о контрактной системе</w:t>
      </w:r>
      <w:r>
        <w:rPr>
          <w:rFonts w:ascii="Times New Roman" w:hAnsi="Times New Roman" w:cs="Times New Roman"/>
          <w:sz w:val="24"/>
          <w:szCs w:val="24"/>
        </w:rPr>
        <w:t>), заявка (часть заявки) которого подлежит в соответствии с Законом о контрактной системе оценке по критерию оценки "цена контракта, сумма цен единиц товара, работы, услуги" (далее - ценовое предложение);</w:t>
      </w:r>
    </w:p>
    <w:p w:rsidR="00A67587" w:rsidRDefault="00A67587" w:rsidP="00A67587">
      <w:pPr>
        <w:pStyle w:val="ConsPlusNormal0"/>
        <w:spacing w:before="220"/>
        <w:ind w:firstLine="176"/>
        <w:jc w:val="both"/>
        <w:rPr>
          <w:rFonts w:ascii="Times New Roman" w:hAnsi="Times New Roman" w:cs="Times New Roman"/>
          <w:sz w:val="24"/>
          <w:szCs w:val="24"/>
        </w:rPr>
      </w:pPr>
      <w:proofErr w:type="spellStart"/>
      <w:r>
        <w:rPr>
          <w:rFonts w:ascii="Times New Roman" w:hAnsi="Times New Roman" w:cs="Times New Roman"/>
          <w:sz w:val="24"/>
          <w:szCs w:val="24"/>
        </w:rPr>
        <w:t>Ц</w:t>
      </w:r>
      <w:r>
        <w:rPr>
          <w:rFonts w:ascii="Times New Roman" w:hAnsi="Times New Roman" w:cs="Times New Roman"/>
          <w:sz w:val="24"/>
          <w:szCs w:val="24"/>
          <w:vertAlign w:val="subscript"/>
        </w:rPr>
        <w:t>л</w:t>
      </w:r>
      <w:proofErr w:type="spellEnd"/>
      <w:r>
        <w:rPr>
          <w:rFonts w:ascii="Times New Roman" w:hAnsi="Times New Roman" w:cs="Times New Roman"/>
          <w:sz w:val="24"/>
          <w:szCs w:val="24"/>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критерию оценки "цена контракта, сумма цен единиц товара, работы, услуги".</w:t>
      </w:r>
    </w:p>
    <w:p w:rsidR="00A67587" w:rsidRDefault="00A67587" w:rsidP="00A67587">
      <w:pPr>
        <w:pStyle w:val="ConsPlusNormal0"/>
        <w:ind w:firstLine="176"/>
        <w:jc w:val="both"/>
        <w:rPr>
          <w:rFonts w:ascii="Times New Roman" w:hAnsi="Times New Roman" w:cs="Times New Roman"/>
          <w:sz w:val="24"/>
          <w:szCs w:val="24"/>
        </w:rPr>
      </w:pPr>
    </w:p>
    <w:p w:rsidR="00A67587" w:rsidRDefault="00A67587" w:rsidP="00A67587">
      <w:pPr>
        <w:pStyle w:val="ConsPlusNormal0"/>
        <w:spacing w:before="220"/>
        <w:ind w:firstLine="176"/>
        <w:jc w:val="both"/>
        <w:rPr>
          <w:rFonts w:ascii="Times New Roman" w:hAnsi="Times New Roman" w:cs="Times New Roman"/>
          <w:sz w:val="24"/>
          <w:szCs w:val="24"/>
        </w:rPr>
      </w:pPr>
      <w:r>
        <w:rPr>
          <w:rFonts w:ascii="Times New Roman" w:hAnsi="Times New Roman" w:cs="Times New Roman"/>
          <w:sz w:val="24"/>
          <w:szCs w:val="24"/>
        </w:rPr>
        <w:t>б) для оценки заявки участника закупки, ценовое предложение которого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Pr>
          <w:rFonts w:ascii="Times New Roman" w:hAnsi="Times New Roman" w:cs="Times New Roman"/>
          <w:sz w:val="24"/>
          <w:szCs w:val="24"/>
        </w:rPr>
        <w:t>БЦ</w:t>
      </w:r>
      <w:r>
        <w:rPr>
          <w:rFonts w:ascii="Times New Roman" w:hAnsi="Times New Roman" w:cs="Times New Roman"/>
          <w:sz w:val="24"/>
          <w:szCs w:val="24"/>
          <w:vertAlign w:val="subscript"/>
        </w:rPr>
        <w:t>i</w:t>
      </w:r>
      <w:proofErr w:type="spellEnd"/>
      <w:r>
        <w:rPr>
          <w:rFonts w:ascii="Times New Roman" w:hAnsi="Times New Roman" w:cs="Times New Roman"/>
          <w:sz w:val="24"/>
          <w:szCs w:val="24"/>
        </w:rPr>
        <w:t>) определяется по формуле:</w:t>
      </w:r>
    </w:p>
    <w:p w:rsidR="00A67587" w:rsidRDefault="00A67587" w:rsidP="00A67587">
      <w:pPr>
        <w:pStyle w:val="ConsPlusNormal0"/>
        <w:ind w:firstLine="176"/>
        <w:jc w:val="both"/>
        <w:rPr>
          <w:sz w:val="20"/>
          <w:szCs w:val="20"/>
        </w:rPr>
      </w:pPr>
    </w:p>
    <w:p w:rsidR="00A67587" w:rsidRDefault="00A67587" w:rsidP="00A67587">
      <w:pPr>
        <w:widowControl w:val="0"/>
        <w:ind w:right="-39" w:firstLine="176"/>
        <w:jc w:val="both"/>
      </w:pPr>
      <w:r>
        <w:rPr>
          <w:noProof/>
          <w:position w:val="-31"/>
          <w:lang w:eastAsia="ru-RU"/>
        </w:rPr>
        <w:lastRenderedPageBreak/>
        <w:drawing>
          <wp:inline distT="0" distB="0" distL="0" distR="0" wp14:anchorId="7929E122" wp14:editId="56AED1F5">
            <wp:extent cx="2047875" cy="533400"/>
            <wp:effectExtent l="0" t="0" r="9525" b="0"/>
            <wp:docPr id="6" name="Рисунок 6" descr="base_1_40614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1_406141_32770"/>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7875" cy="533400"/>
                    </a:xfrm>
                    <a:prstGeom prst="rect">
                      <a:avLst/>
                    </a:prstGeom>
                    <a:noFill/>
                    <a:ln>
                      <a:noFill/>
                    </a:ln>
                  </pic:spPr>
                </pic:pic>
              </a:graphicData>
            </a:graphic>
          </wp:inline>
        </w:drawing>
      </w:r>
    </w:p>
    <w:p w:rsidR="00A67587" w:rsidRDefault="00A67587" w:rsidP="00A67587">
      <w:pPr>
        <w:widowControl w:val="0"/>
        <w:ind w:right="-39" w:firstLine="176"/>
        <w:jc w:val="both"/>
      </w:pPr>
    </w:p>
    <w:p w:rsidR="00A67587" w:rsidRDefault="00A67587" w:rsidP="00A67587">
      <w:pPr>
        <w:pStyle w:val="ConsPlusNormal0"/>
        <w:ind w:firstLine="176"/>
        <w:jc w:val="both"/>
        <w:rPr>
          <w:rFonts w:ascii="Times New Roman" w:hAnsi="Times New Roman" w:cs="Times New Roman"/>
          <w:sz w:val="24"/>
          <w:szCs w:val="24"/>
        </w:rPr>
      </w:pPr>
      <w:r>
        <w:rPr>
          <w:rFonts w:ascii="Times New Roman" w:hAnsi="Times New Roman" w:cs="Times New Roman"/>
          <w:sz w:val="24"/>
          <w:szCs w:val="24"/>
        </w:rPr>
        <w:t>Оценка заявок по критерию оценки "цена контракта, сумма цен единиц товара, работы, услуги" осуществляется в соответствии со следующими требованиями:</w:t>
      </w:r>
    </w:p>
    <w:p w:rsidR="00A67587" w:rsidRDefault="00A67587" w:rsidP="00A67587">
      <w:pPr>
        <w:pStyle w:val="ConsPlusNormal0"/>
        <w:spacing w:before="220"/>
        <w:ind w:firstLine="176"/>
        <w:jc w:val="both"/>
        <w:rPr>
          <w:rFonts w:ascii="Times New Roman" w:hAnsi="Times New Roman" w:cs="Times New Roman"/>
          <w:color w:val="000000"/>
          <w:sz w:val="24"/>
          <w:szCs w:val="24"/>
        </w:rPr>
      </w:pPr>
      <w:r>
        <w:rPr>
          <w:rFonts w:ascii="Times New Roman" w:hAnsi="Times New Roman" w:cs="Times New Roman"/>
          <w:sz w:val="24"/>
          <w:szCs w:val="24"/>
        </w:rPr>
        <w:t xml:space="preserve">1) </w:t>
      </w:r>
      <w:r>
        <w:rPr>
          <w:rFonts w:ascii="Times New Roman" w:hAnsi="Times New Roman" w:cs="Times New Roman"/>
          <w:color w:val="000000"/>
          <w:sz w:val="24"/>
          <w:szCs w:val="24"/>
        </w:rPr>
        <w:t>заявкам, содержащим наилучшее ценовое предложение, а также предложение, равное такому наилучшему ценовому предложению, присваивается 100 баллов;</w:t>
      </w:r>
    </w:p>
    <w:p w:rsidR="00A67587" w:rsidRDefault="00A67587" w:rsidP="00A67587">
      <w:pPr>
        <w:pStyle w:val="ConsPlusNormal0"/>
        <w:spacing w:before="220"/>
        <w:ind w:firstLine="17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значение </w:t>
      </w:r>
      <w:proofErr w:type="spellStart"/>
      <w:r>
        <w:rPr>
          <w:rFonts w:ascii="Times New Roman" w:hAnsi="Times New Roman" w:cs="Times New Roman"/>
          <w:color w:val="000000"/>
          <w:sz w:val="24"/>
          <w:szCs w:val="24"/>
        </w:rPr>
        <w:t>Ц</w:t>
      </w:r>
      <w:r>
        <w:rPr>
          <w:rFonts w:ascii="Times New Roman" w:hAnsi="Times New Roman" w:cs="Times New Roman"/>
          <w:color w:val="000000"/>
          <w:sz w:val="24"/>
          <w:szCs w:val="24"/>
          <w:vertAlign w:val="subscript"/>
        </w:rPr>
        <w:t>л</w:t>
      </w:r>
      <w:proofErr w:type="spellEnd"/>
      <w:r>
        <w:rPr>
          <w:rFonts w:ascii="Times New Roman" w:hAnsi="Times New Roman" w:cs="Times New Roman"/>
          <w:color w:val="000000"/>
          <w:sz w:val="24"/>
          <w:szCs w:val="24"/>
        </w:rPr>
        <w:t xml:space="preserve"> при применении формулы, предусмотренной </w:t>
      </w:r>
      <w:hyperlink r:id="rId12" w:anchor="P88" w:history="1">
        <w:r>
          <w:rPr>
            <w:rStyle w:val="a3"/>
            <w:rFonts w:ascii="Times New Roman" w:hAnsi="Times New Roman" w:cs="Times New Roman"/>
            <w:color w:val="000000"/>
            <w:sz w:val="24"/>
            <w:szCs w:val="24"/>
            <w:u w:val="none"/>
          </w:rPr>
          <w:t>подпунктом "а" настоящего пункта</w:t>
        </w:r>
      </w:hyperlink>
      <w:r>
        <w:rPr>
          <w:rFonts w:ascii="Times New Roman" w:hAnsi="Times New Roman" w:cs="Times New Roman"/>
          <w:color w:val="000000"/>
          <w:sz w:val="24"/>
          <w:szCs w:val="24"/>
        </w:rPr>
        <w:t xml:space="preserve">, и значения </w:t>
      </w:r>
      <w:proofErr w:type="spellStart"/>
      <w:r>
        <w:rPr>
          <w:rFonts w:ascii="Times New Roman" w:hAnsi="Times New Roman" w:cs="Times New Roman"/>
          <w:color w:val="000000"/>
          <w:sz w:val="24"/>
          <w:szCs w:val="24"/>
        </w:rPr>
        <w:t>Ц</w:t>
      </w:r>
      <w:r>
        <w:rPr>
          <w:rFonts w:ascii="Times New Roman" w:hAnsi="Times New Roman" w:cs="Times New Roman"/>
          <w:color w:val="000000"/>
          <w:sz w:val="24"/>
          <w:szCs w:val="24"/>
          <w:vertAlign w:val="subscript"/>
        </w:rPr>
        <w:t>л</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Ц</w:t>
      </w:r>
      <w:r>
        <w:rPr>
          <w:rFonts w:ascii="Times New Roman" w:hAnsi="Times New Roman" w:cs="Times New Roman"/>
          <w:color w:val="000000"/>
          <w:sz w:val="24"/>
          <w:szCs w:val="24"/>
          <w:vertAlign w:val="subscript"/>
        </w:rPr>
        <w:t>i</w:t>
      </w:r>
      <w:proofErr w:type="spellEnd"/>
      <w:r>
        <w:rPr>
          <w:rFonts w:ascii="Times New Roman" w:hAnsi="Times New Roman" w:cs="Times New Roman"/>
          <w:color w:val="000000"/>
          <w:sz w:val="24"/>
          <w:szCs w:val="24"/>
        </w:rPr>
        <w:t xml:space="preserve"> при применении формулы, предусмотренной </w:t>
      </w:r>
      <w:hyperlink r:id="rId13" w:anchor="P93" w:history="1">
        <w:r>
          <w:rPr>
            <w:rStyle w:val="a3"/>
            <w:rFonts w:ascii="Times New Roman" w:hAnsi="Times New Roman" w:cs="Times New Roman"/>
            <w:color w:val="000000"/>
            <w:sz w:val="24"/>
            <w:szCs w:val="24"/>
            <w:u w:val="none"/>
          </w:rPr>
          <w:t>подпунктом "б" настоящего пункта</w:t>
        </w:r>
      </w:hyperlink>
      <w:r>
        <w:rPr>
          <w:rFonts w:ascii="Times New Roman" w:hAnsi="Times New Roman" w:cs="Times New Roman"/>
          <w:color w:val="000000"/>
          <w:sz w:val="24"/>
          <w:szCs w:val="24"/>
        </w:rPr>
        <w:t>, указываются без знака "минус".</w:t>
      </w:r>
    </w:p>
    <w:p w:rsidR="00A67587" w:rsidRDefault="00A67587" w:rsidP="00A67587">
      <w:pPr>
        <w:widowControl w:val="0"/>
        <w:ind w:right="-39" w:firstLine="567"/>
        <w:jc w:val="both"/>
        <w:rPr>
          <w:color w:val="000000"/>
        </w:rPr>
      </w:pPr>
    </w:p>
    <w:p w:rsidR="00A67587" w:rsidRDefault="00A67587" w:rsidP="00A67587">
      <w:pPr>
        <w:widowControl w:val="0"/>
        <w:snapToGrid w:val="0"/>
        <w:ind w:right="-94" w:firstLine="176"/>
        <w:contextualSpacing/>
        <w:jc w:val="both"/>
        <w:rPr>
          <w:b/>
        </w:rPr>
      </w:pPr>
      <w:r>
        <w:rPr>
          <w:b/>
          <w:color w:val="000000"/>
        </w:rPr>
        <w:t>2. Оценка заявок по критерию «Квалификация участников закупки</w:t>
      </w:r>
      <w:r>
        <w:rPr>
          <w:b/>
        </w:rPr>
        <w:t xml:space="preserve">». </w:t>
      </w:r>
    </w:p>
    <w:p w:rsidR="00A67587" w:rsidRDefault="00A67587" w:rsidP="00A67587">
      <w:pPr>
        <w:widowControl w:val="0"/>
        <w:ind w:right="-39" w:firstLine="176"/>
        <w:jc w:val="both"/>
      </w:pPr>
      <w:r>
        <w:t>Значимость критерия – 40 %</w:t>
      </w:r>
    </w:p>
    <w:p w:rsidR="00A67587" w:rsidRDefault="00A67587" w:rsidP="00A67587">
      <w:pPr>
        <w:widowControl w:val="0"/>
        <w:snapToGrid w:val="0"/>
        <w:ind w:right="-94" w:firstLine="176"/>
        <w:contextualSpacing/>
        <w:jc w:val="both"/>
      </w:pPr>
    </w:p>
    <w:p w:rsidR="00A67587" w:rsidRDefault="00A67587" w:rsidP="00A67587">
      <w:pPr>
        <w:widowControl w:val="0"/>
        <w:ind w:right="-39" w:firstLine="176"/>
        <w:jc w:val="both"/>
        <w:rPr>
          <w:b/>
        </w:rPr>
      </w:pPr>
      <w:r>
        <w:rPr>
          <w:b/>
        </w:rPr>
        <w:t>Применяемые показатели данного критерия оценки:</w:t>
      </w:r>
    </w:p>
    <w:p w:rsidR="00A67587" w:rsidRDefault="00A67587" w:rsidP="00A67587">
      <w:pPr>
        <w:pStyle w:val="a8"/>
        <w:widowControl w:val="0"/>
        <w:ind w:firstLine="176"/>
        <w:rPr>
          <w:rFonts w:ascii="Times New Roman" w:hAnsi="Times New Roman"/>
          <w:sz w:val="24"/>
          <w:szCs w:val="24"/>
        </w:rPr>
      </w:pPr>
      <w:r>
        <w:rPr>
          <w:rFonts w:ascii="Times New Roman" w:hAnsi="Times New Roman"/>
          <w:b/>
          <w:sz w:val="24"/>
          <w:szCs w:val="24"/>
        </w:rPr>
        <w:t>2.1.</w:t>
      </w:r>
      <w:r>
        <w:rPr>
          <w:rFonts w:ascii="Times New Roman" w:hAnsi="Times New Roman"/>
          <w:sz w:val="24"/>
          <w:szCs w:val="24"/>
        </w:rPr>
        <w:t xml:space="preserve"> </w:t>
      </w:r>
      <w:r>
        <w:rPr>
          <w:rFonts w:ascii="Times New Roman" w:hAnsi="Times New Roman"/>
          <w:b/>
          <w:sz w:val="24"/>
          <w:szCs w:val="24"/>
        </w:rPr>
        <w:t>Наличие у участников закупки опыта выполнения работ, связанных с предметом контракта.</w:t>
      </w:r>
    </w:p>
    <w:p w:rsidR="00A67587" w:rsidRDefault="00A67587" w:rsidP="00A67587">
      <w:pPr>
        <w:pStyle w:val="a8"/>
        <w:widowControl w:val="0"/>
        <w:ind w:firstLine="176"/>
        <w:rPr>
          <w:rFonts w:ascii="Times New Roman" w:hAnsi="Times New Roman"/>
          <w:sz w:val="24"/>
          <w:szCs w:val="24"/>
        </w:rPr>
      </w:pPr>
      <w:r>
        <w:rPr>
          <w:rFonts w:ascii="Times New Roman" w:hAnsi="Times New Roman"/>
          <w:sz w:val="24"/>
          <w:szCs w:val="24"/>
        </w:rPr>
        <w:t>Оценка показателя (баллы): 100 баллов.</w:t>
      </w:r>
    </w:p>
    <w:p w:rsidR="00A67587" w:rsidRDefault="00A67587" w:rsidP="00A67587">
      <w:pPr>
        <w:pStyle w:val="a8"/>
        <w:widowControl w:val="0"/>
        <w:ind w:firstLine="176"/>
        <w:rPr>
          <w:rFonts w:ascii="Times New Roman" w:hAnsi="Times New Roman"/>
          <w:sz w:val="24"/>
          <w:szCs w:val="24"/>
        </w:rPr>
      </w:pPr>
      <w:r>
        <w:rPr>
          <w:rFonts w:ascii="Times New Roman" w:hAnsi="Times New Roman"/>
          <w:sz w:val="24"/>
          <w:szCs w:val="24"/>
        </w:rPr>
        <w:t>Значимость показателя: 100%.</w:t>
      </w:r>
    </w:p>
    <w:p w:rsidR="00A67587" w:rsidRDefault="00A67587" w:rsidP="00A67587">
      <w:pPr>
        <w:pStyle w:val="a8"/>
        <w:widowControl w:val="0"/>
        <w:ind w:firstLine="176"/>
        <w:rPr>
          <w:rFonts w:ascii="Times New Roman" w:hAnsi="Times New Roman"/>
          <w:sz w:val="24"/>
          <w:szCs w:val="24"/>
        </w:rPr>
      </w:pPr>
      <w:r>
        <w:rPr>
          <w:rFonts w:ascii="Times New Roman" w:hAnsi="Times New Roman"/>
          <w:sz w:val="24"/>
          <w:szCs w:val="24"/>
        </w:rPr>
        <w:t>По данному показателю оценивается общая цена исполненных участником закупки договоров.</w:t>
      </w:r>
    </w:p>
    <w:p w:rsidR="00A67587" w:rsidRDefault="00A67587" w:rsidP="00A67587">
      <w:pPr>
        <w:pStyle w:val="a8"/>
        <w:widowControl w:val="0"/>
        <w:ind w:firstLine="176"/>
        <w:rPr>
          <w:rFonts w:ascii="Times New Roman" w:hAnsi="Times New Roman"/>
          <w:sz w:val="24"/>
          <w:szCs w:val="24"/>
        </w:rPr>
      </w:pPr>
      <w:r>
        <w:rPr>
          <w:rFonts w:ascii="Times New Roman" w:hAnsi="Times New Roman"/>
          <w:sz w:val="24"/>
          <w:szCs w:val="24"/>
        </w:rPr>
        <w:t xml:space="preserve">При этом, участник закупки предоставляет исполненные договоры на выполнение работ по изготовлению ортопедической обуви сопоставимого характера и объема, а также акты приемки выполненных работ, составленные при исполнении таких договоров. </w:t>
      </w:r>
    </w:p>
    <w:p w:rsidR="00A67587" w:rsidRDefault="00A67587" w:rsidP="00A67587">
      <w:pPr>
        <w:pStyle w:val="a8"/>
        <w:widowControl w:val="0"/>
        <w:ind w:firstLine="176"/>
        <w:rPr>
          <w:rFonts w:ascii="Times New Roman" w:hAnsi="Times New Roman"/>
          <w:sz w:val="24"/>
          <w:szCs w:val="24"/>
        </w:rPr>
      </w:pPr>
      <w:r>
        <w:rPr>
          <w:rFonts w:ascii="Times New Roman" w:hAnsi="Times New Roman"/>
          <w:sz w:val="24"/>
          <w:szCs w:val="24"/>
        </w:rPr>
        <w:t>Последний акт, составленный при исполнении договора, должен быть подписан не ранее чем за 5 лет до даты окончания срока подачи заявок.</w:t>
      </w:r>
    </w:p>
    <w:p w:rsidR="00A67587" w:rsidRDefault="00A67587" w:rsidP="00A67587">
      <w:pPr>
        <w:pStyle w:val="a8"/>
        <w:widowControl w:val="0"/>
        <w:ind w:firstLine="176"/>
        <w:rPr>
          <w:rFonts w:ascii="Times New Roman" w:hAnsi="Times New Roman"/>
          <w:sz w:val="24"/>
          <w:szCs w:val="24"/>
        </w:rPr>
      </w:pPr>
      <w:r>
        <w:rPr>
          <w:rFonts w:ascii="Times New Roman" w:hAnsi="Times New Roman"/>
          <w:sz w:val="24"/>
          <w:szCs w:val="24"/>
        </w:rPr>
        <w:t>К оценке принимаются исключительно исполненные договоры, в том числе при исполнении которых исполнителем исполнены требования об уплате неустоек (штрафов, пеней) (в случае начисления неустоек), а также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p>
    <w:p w:rsidR="00A67587" w:rsidRDefault="00A67587" w:rsidP="00A67587">
      <w:pPr>
        <w:pStyle w:val="a8"/>
        <w:widowControl w:val="0"/>
        <w:ind w:firstLine="176"/>
        <w:rPr>
          <w:rFonts w:ascii="Times New Roman" w:hAnsi="Times New Roman"/>
          <w:sz w:val="24"/>
          <w:szCs w:val="24"/>
        </w:rPr>
      </w:pPr>
      <w:r>
        <w:rPr>
          <w:rFonts w:ascii="Times New Roman" w:hAnsi="Times New Roman"/>
          <w:sz w:val="24"/>
          <w:szCs w:val="24"/>
        </w:rPr>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p w:rsidR="00A67587" w:rsidRDefault="00A67587" w:rsidP="00A67587">
      <w:pPr>
        <w:pStyle w:val="a8"/>
        <w:widowControl w:val="0"/>
        <w:ind w:firstLine="176"/>
        <w:rPr>
          <w:rFonts w:ascii="Times New Roman" w:hAnsi="Times New Roman"/>
          <w:sz w:val="24"/>
          <w:szCs w:val="24"/>
        </w:rPr>
      </w:pPr>
      <w:r>
        <w:rPr>
          <w:rFonts w:ascii="Times New Roman" w:hAnsi="Times New Roman"/>
          <w:sz w:val="24"/>
          <w:szCs w:val="24"/>
        </w:rPr>
        <w:t>Данный показатель (</w:t>
      </w:r>
      <w:proofErr w:type="spellStart"/>
      <w:r>
        <w:rPr>
          <w:rFonts w:ascii="Times New Roman" w:hAnsi="Times New Roman"/>
          <w:sz w:val="24"/>
          <w:szCs w:val="24"/>
        </w:rPr>
        <w:t>БХ</w:t>
      </w:r>
      <w:r>
        <w:rPr>
          <w:rFonts w:ascii="Times New Roman" w:hAnsi="Times New Roman"/>
          <w:sz w:val="24"/>
          <w:szCs w:val="24"/>
          <w:vertAlign w:val="subscript"/>
        </w:rPr>
        <w:t>i</w:t>
      </w:r>
      <w:proofErr w:type="spellEnd"/>
      <w:r>
        <w:rPr>
          <w:rFonts w:ascii="Times New Roman" w:hAnsi="Times New Roman"/>
          <w:sz w:val="24"/>
          <w:szCs w:val="24"/>
        </w:rPr>
        <w:t>) рассчитывается следующим образом:</w:t>
      </w:r>
    </w:p>
    <w:p w:rsidR="00A67587" w:rsidRDefault="00A67587" w:rsidP="00A67587">
      <w:pPr>
        <w:pStyle w:val="a8"/>
        <w:widowControl w:val="0"/>
        <w:ind w:firstLine="176"/>
        <w:rPr>
          <w:rFonts w:ascii="Times New Roman" w:hAnsi="Times New Roman"/>
          <w:sz w:val="24"/>
          <w:szCs w:val="24"/>
        </w:rPr>
      </w:pPr>
    </w:p>
    <w:tbl>
      <w:tblPr>
        <w:tblW w:w="7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2582"/>
      </w:tblGrid>
      <w:tr w:rsidR="00BC343A" w:rsidRPr="00BC343A" w:rsidTr="00BC343A">
        <w:tc>
          <w:tcPr>
            <w:tcW w:w="4678" w:type="dxa"/>
            <w:tcBorders>
              <w:top w:val="single" w:sz="4" w:space="0" w:color="auto"/>
              <w:left w:val="single" w:sz="4" w:space="0" w:color="auto"/>
              <w:bottom w:val="single" w:sz="4" w:space="0" w:color="auto"/>
              <w:right w:val="single" w:sz="4" w:space="0" w:color="auto"/>
            </w:tcBorders>
            <w:hideMark/>
          </w:tcPr>
          <w:p w:rsidR="00A67587" w:rsidRPr="00BC343A" w:rsidRDefault="00A67587" w:rsidP="00101289">
            <w:pPr>
              <w:widowControl w:val="0"/>
              <w:tabs>
                <w:tab w:val="left" w:pos="0"/>
                <w:tab w:val="left" w:pos="709"/>
              </w:tabs>
              <w:autoSpaceDE w:val="0"/>
              <w:autoSpaceDN w:val="0"/>
              <w:adjustRightInd w:val="0"/>
              <w:jc w:val="center"/>
            </w:pPr>
            <w:bookmarkStart w:id="0" w:name="_GoBack" w:colFirst="0" w:colLast="2"/>
            <w:r w:rsidRPr="00BC343A">
              <w:t xml:space="preserve">Значение показателя </w:t>
            </w:r>
          </w:p>
          <w:p w:rsidR="00A67587" w:rsidRPr="00BC343A" w:rsidRDefault="00A67587" w:rsidP="00A67587">
            <w:pPr>
              <w:widowControl w:val="0"/>
              <w:tabs>
                <w:tab w:val="left" w:pos="0"/>
                <w:tab w:val="left" w:pos="709"/>
              </w:tabs>
              <w:autoSpaceDE w:val="0"/>
              <w:autoSpaceDN w:val="0"/>
              <w:adjustRightInd w:val="0"/>
              <w:jc w:val="center"/>
            </w:pPr>
            <w:r w:rsidRPr="00BC343A">
              <w:t>(</w:t>
            </w:r>
            <w:r w:rsidRPr="00BC343A">
              <w:t>общая цена исполненных участником закупки договоров</w:t>
            </w:r>
            <w:r w:rsidRPr="00BC343A">
              <w:t>)</w:t>
            </w:r>
          </w:p>
        </w:tc>
        <w:tc>
          <w:tcPr>
            <w:tcW w:w="2582" w:type="dxa"/>
            <w:tcBorders>
              <w:top w:val="single" w:sz="4" w:space="0" w:color="auto"/>
              <w:left w:val="single" w:sz="4" w:space="0" w:color="auto"/>
              <w:bottom w:val="single" w:sz="4" w:space="0" w:color="auto"/>
              <w:right w:val="single" w:sz="4" w:space="0" w:color="auto"/>
            </w:tcBorders>
            <w:hideMark/>
          </w:tcPr>
          <w:p w:rsidR="00A67587" w:rsidRPr="00BC343A" w:rsidRDefault="00A67587" w:rsidP="00101289">
            <w:pPr>
              <w:widowControl w:val="0"/>
              <w:tabs>
                <w:tab w:val="left" w:pos="0"/>
                <w:tab w:val="left" w:pos="709"/>
              </w:tabs>
              <w:autoSpaceDE w:val="0"/>
              <w:autoSpaceDN w:val="0"/>
              <w:adjustRightInd w:val="0"/>
              <w:jc w:val="center"/>
            </w:pPr>
            <w:r w:rsidRPr="00BC343A">
              <w:t>Количество баллов</w:t>
            </w:r>
          </w:p>
        </w:tc>
      </w:tr>
      <w:tr w:rsidR="00BC343A" w:rsidRPr="00BC343A" w:rsidTr="00BC343A">
        <w:tc>
          <w:tcPr>
            <w:tcW w:w="4678" w:type="dxa"/>
            <w:tcBorders>
              <w:top w:val="single" w:sz="4" w:space="0" w:color="auto"/>
              <w:left w:val="single" w:sz="4" w:space="0" w:color="auto"/>
              <w:bottom w:val="single" w:sz="4" w:space="0" w:color="auto"/>
              <w:right w:val="single" w:sz="4" w:space="0" w:color="auto"/>
            </w:tcBorders>
            <w:hideMark/>
          </w:tcPr>
          <w:p w:rsidR="00A67587" w:rsidRPr="00BC343A" w:rsidRDefault="00A67587" w:rsidP="00101289">
            <w:pPr>
              <w:widowControl w:val="0"/>
              <w:tabs>
                <w:tab w:val="left" w:pos="0"/>
                <w:tab w:val="left" w:pos="709"/>
              </w:tabs>
              <w:autoSpaceDE w:val="0"/>
              <w:autoSpaceDN w:val="0"/>
              <w:adjustRightInd w:val="0"/>
            </w:pPr>
            <w:r w:rsidRPr="00BC343A">
              <w:t>не менее 13 000 000,00 руб.</w:t>
            </w:r>
          </w:p>
        </w:tc>
        <w:tc>
          <w:tcPr>
            <w:tcW w:w="2582" w:type="dxa"/>
            <w:tcBorders>
              <w:top w:val="single" w:sz="4" w:space="0" w:color="auto"/>
              <w:left w:val="single" w:sz="4" w:space="0" w:color="auto"/>
              <w:bottom w:val="single" w:sz="4" w:space="0" w:color="auto"/>
              <w:right w:val="single" w:sz="4" w:space="0" w:color="auto"/>
            </w:tcBorders>
            <w:vAlign w:val="center"/>
            <w:hideMark/>
          </w:tcPr>
          <w:p w:rsidR="00A67587" w:rsidRPr="00BC343A" w:rsidRDefault="00A67587" w:rsidP="00101289">
            <w:pPr>
              <w:widowControl w:val="0"/>
              <w:tabs>
                <w:tab w:val="left" w:pos="0"/>
                <w:tab w:val="left" w:pos="709"/>
              </w:tabs>
              <w:autoSpaceDE w:val="0"/>
              <w:autoSpaceDN w:val="0"/>
              <w:adjustRightInd w:val="0"/>
              <w:jc w:val="center"/>
            </w:pPr>
            <w:r w:rsidRPr="00BC343A">
              <w:t>100</w:t>
            </w:r>
          </w:p>
        </w:tc>
      </w:tr>
      <w:tr w:rsidR="00BC343A" w:rsidRPr="00BC343A" w:rsidTr="00BC343A">
        <w:tc>
          <w:tcPr>
            <w:tcW w:w="4678" w:type="dxa"/>
            <w:tcBorders>
              <w:top w:val="single" w:sz="4" w:space="0" w:color="auto"/>
              <w:left w:val="single" w:sz="4" w:space="0" w:color="auto"/>
              <w:bottom w:val="single" w:sz="4" w:space="0" w:color="auto"/>
              <w:right w:val="single" w:sz="4" w:space="0" w:color="auto"/>
            </w:tcBorders>
            <w:hideMark/>
          </w:tcPr>
          <w:p w:rsidR="00A67587" w:rsidRPr="00BC343A" w:rsidRDefault="00A67587" w:rsidP="00A67587">
            <w:r w:rsidRPr="00BC343A">
              <w:t>не менее</w:t>
            </w:r>
            <w:r w:rsidRPr="00BC343A">
              <w:t xml:space="preserve"> </w:t>
            </w:r>
            <w:r w:rsidR="00BC343A" w:rsidRPr="00BC343A">
              <w:t>3 000 000,00 руб. и не более 13 000 000,00 руб.</w:t>
            </w:r>
          </w:p>
        </w:tc>
        <w:tc>
          <w:tcPr>
            <w:tcW w:w="2582" w:type="dxa"/>
            <w:tcBorders>
              <w:top w:val="single" w:sz="4" w:space="0" w:color="auto"/>
              <w:left w:val="single" w:sz="4" w:space="0" w:color="auto"/>
              <w:bottom w:val="single" w:sz="4" w:space="0" w:color="auto"/>
              <w:right w:val="single" w:sz="4" w:space="0" w:color="auto"/>
            </w:tcBorders>
            <w:vAlign w:val="center"/>
            <w:hideMark/>
          </w:tcPr>
          <w:p w:rsidR="00A67587" w:rsidRPr="00BC343A" w:rsidRDefault="00BC343A" w:rsidP="00A67587">
            <w:pPr>
              <w:widowControl w:val="0"/>
              <w:tabs>
                <w:tab w:val="left" w:pos="0"/>
                <w:tab w:val="left" w:pos="709"/>
              </w:tabs>
              <w:autoSpaceDE w:val="0"/>
              <w:autoSpaceDN w:val="0"/>
              <w:adjustRightInd w:val="0"/>
              <w:jc w:val="center"/>
            </w:pPr>
            <w:r w:rsidRPr="00BC343A">
              <w:t>50</w:t>
            </w:r>
          </w:p>
        </w:tc>
      </w:tr>
      <w:tr w:rsidR="00BC343A" w:rsidRPr="00BC343A" w:rsidTr="00BC343A">
        <w:tc>
          <w:tcPr>
            <w:tcW w:w="4678" w:type="dxa"/>
            <w:tcBorders>
              <w:top w:val="single" w:sz="4" w:space="0" w:color="auto"/>
              <w:left w:val="single" w:sz="4" w:space="0" w:color="auto"/>
              <w:bottom w:val="single" w:sz="4" w:space="0" w:color="auto"/>
              <w:right w:val="single" w:sz="4" w:space="0" w:color="auto"/>
            </w:tcBorders>
            <w:hideMark/>
          </w:tcPr>
          <w:p w:rsidR="00A67587" w:rsidRPr="00BC343A" w:rsidRDefault="00BC343A" w:rsidP="00BC343A">
            <w:r w:rsidRPr="00BC343A">
              <w:t>м</w:t>
            </w:r>
            <w:r w:rsidR="00A67587" w:rsidRPr="00BC343A">
              <w:t>енее</w:t>
            </w:r>
            <w:r w:rsidRPr="00BC343A">
              <w:t xml:space="preserve"> 3 000 000,00 руб.</w:t>
            </w:r>
          </w:p>
        </w:tc>
        <w:tc>
          <w:tcPr>
            <w:tcW w:w="2582" w:type="dxa"/>
            <w:tcBorders>
              <w:top w:val="single" w:sz="4" w:space="0" w:color="auto"/>
              <w:left w:val="single" w:sz="4" w:space="0" w:color="auto"/>
              <w:bottom w:val="single" w:sz="4" w:space="0" w:color="auto"/>
              <w:right w:val="single" w:sz="4" w:space="0" w:color="auto"/>
            </w:tcBorders>
            <w:vAlign w:val="center"/>
            <w:hideMark/>
          </w:tcPr>
          <w:p w:rsidR="00A67587" w:rsidRPr="00BC343A" w:rsidRDefault="00BC343A" w:rsidP="00A67587">
            <w:pPr>
              <w:widowControl w:val="0"/>
              <w:tabs>
                <w:tab w:val="left" w:pos="0"/>
                <w:tab w:val="left" w:pos="709"/>
              </w:tabs>
              <w:autoSpaceDE w:val="0"/>
              <w:autoSpaceDN w:val="0"/>
              <w:adjustRightInd w:val="0"/>
              <w:jc w:val="center"/>
            </w:pPr>
            <w:r w:rsidRPr="00BC343A">
              <w:t>0</w:t>
            </w:r>
          </w:p>
        </w:tc>
      </w:tr>
      <w:bookmarkEnd w:id="0"/>
    </w:tbl>
    <w:p w:rsidR="00A67587" w:rsidRDefault="00A67587" w:rsidP="00A67587">
      <w:pPr>
        <w:pStyle w:val="a8"/>
        <w:widowControl w:val="0"/>
        <w:ind w:firstLine="176"/>
        <w:rPr>
          <w:rFonts w:ascii="Times New Roman" w:hAnsi="Times New Roman"/>
          <w:sz w:val="24"/>
          <w:szCs w:val="24"/>
        </w:rPr>
      </w:pPr>
    </w:p>
    <w:p w:rsidR="00A67587" w:rsidRDefault="00A67587" w:rsidP="00A67587">
      <w:r>
        <w:rPr>
          <w:w w:val="105"/>
        </w:rPr>
        <w:t>Непредставление</w:t>
      </w:r>
      <w:r>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sectPr w:rsidR="00A67587" w:rsidSect="00BC343A">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587"/>
    <w:rsid w:val="00003253"/>
    <w:rsid w:val="00003C36"/>
    <w:rsid w:val="00023042"/>
    <w:rsid w:val="00025BB1"/>
    <w:rsid w:val="00033BFD"/>
    <w:rsid w:val="0004117A"/>
    <w:rsid w:val="000416D5"/>
    <w:rsid w:val="0004294E"/>
    <w:rsid w:val="00044F7A"/>
    <w:rsid w:val="00062421"/>
    <w:rsid w:val="00072617"/>
    <w:rsid w:val="0009243B"/>
    <w:rsid w:val="000A080D"/>
    <w:rsid w:val="000A0F02"/>
    <w:rsid w:val="000A12C3"/>
    <w:rsid w:val="000A4157"/>
    <w:rsid w:val="000A52B6"/>
    <w:rsid w:val="000B0537"/>
    <w:rsid w:val="000B667C"/>
    <w:rsid w:val="000C3EBA"/>
    <w:rsid w:val="000D0DC6"/>
    <w:rsid w:val="000D11C3"/>
    <w:rsid w:val="000D7DE0"/>
    <w:rsid w:val="000F0924"/>
    <w:rsid w:val="000F4B3A"/>
    <w:rsid w:val="000F574A"/>
    <w:rsid w:val="00114751"/>
    <w:rsid w:val="00121992"/>
    <w:rsid w:val="00126BEE"/>
    <w:rsid w:val="00131272"/>
    <w:rsid w:val="00145DD2"/>
    <w:rsid w:val="001551F8"/>
    <w:rsid w:val="001612EF"/>
    <w:rsid w:val="00175ED5"/>
    <w:rsid w:val="0017620E"/>
    <w:rsid w:val="001820FA"/>
    <w:rsid w:val="00182CFF"/>
    <w:rsid w:val="00182D75"/>
    <w:rsid w:val="001958C5"/>
    <w:rsid w:val="001A7F6F"/>
    <w:rsid w:val="001C552A"/>
    <w:rsid w:val="001D3264"/>
    <w:rsid w:val="001D53F2"/>
    <w:rsid w:val="001D746B"/>
    <w:rsid w:val="001E0149"/>
    <w:rsid w:val="001E01AD"/>
    <w:rsid w:val="001E1EFE"/>
    <w:rsid w:val="001E26CC"/>
    <w:rsid w:val="001E73D4"/>
    <w:rsid w:val="001F282D"/>
    <w:rsid w:val="001F2A1F"/>
    <w:rsid w:val="001F3A6B"/>
    <w:rsid w:val="001F53DF"/>
    <w:rsid w:val="001F5E7C"/>
    <w:rsid w:val="001F6FD8"/>
    <w:rsid w:val="00210F07"/>
    <w:rsid w:val="00213D5F"/>
    <w:rsid w:val="002210D2"/>
    <w:rsid w:val="00223F26"/>
    <w:rsid w:val="00227BDB"/>
    <w:rsid w:val="00230B2B"/>
    <w:rsid w:val="00231008"/>
    <w:rsid w:val="00231EEE"/>
    <w:rsid w:val="0023333F"/>
    <w:rsid w:val="00237C55"/>
    <w:rsid w:val="0024105A"/>
    <w:rsid w:val="00241E01"/>
    <w:rsid w:val="00253810"/>
    <w:rsid w:val="00257AD0"/>
    <w:rsid w:val="00261096"/>
    <w:rsid w:val="00262009"/>
    <w:rsid w:val="00264AAB"/>
    <w:rsid w:val="00273DCE"/>
    <w:rsid w:val="00274F2C"/>
    <w:rsid w:val="00276BED"/>
    <w:rsid w:val="002833B9"/>
    <w:rsid w:val="002853B0"/>
    <w:rsid w:val="00286570"/>
    <w:rsid w:val="00290CF8"/>
    <w:rsid w:val="00292B3B"/>
    <w:rsid w:val="002936EC"/>
    <w:rsid w:val="002A0A30"/>
    <w:rsid w:val="002B139E"/>
    <w:rsid w:val="002C1E42"/>
    <w:rsid w:val="002C2C0B"/>
    <w:rsid w:val="002D59C8"/>
    <w:rsid w:val="002E0297"/>
    <w:rsid w:val="002E3B8D"/>
    <w:rsid w:val="002F1319"/>
    <w:rsid w:val="002F1A1D"/>
    <w:rsid w:val="002F2057"/>
    <w:rsid w:val="002F282F"/>
    <w:rsid w:val="003176B8"/>
    <w:rsid w:val="00320101"/>
    <w:rsid w:val="0032239E"/>
    <w:rsid w:val="00330EDA"/>
    <w:rsid w:val="00335039"/>
    <w:rsid w:val="00335F67"/>
    <w:rsid w:val="00336DBB"/>
    <w:rsid w:val="003422A7"/>
    <w:rsid w:val="00344BFD"/>
    <w:rsid w:val="00347E9C"/>
    <w:rsid w:val="003519BA"/>
    <w:rsid w:val="00355AC1"/>
    <w:rsid w:val="0035699E"/>
    <w:rsid w:val="00360FD3"/>
    <w:rsid w:val="003628D6"/>
    <w:rsid w:val="00363BC3"/>
    <w:rsid w:val="00376CC7"/>
    <w:rsid w:val="00380FC8"/>
    <w:rsid w:val="00386AB7"/>
    <w:rsid w:val="00386BC3"/>
    <w:rsid w:val="00391350"/>
    <w:rsid w:val="00393BC8"/>
    <w:rsid w:val="00394DEB"/>
    <w:rsid w:val="003A1451"/>
    <w:rsid w:val="003B20A0"/>
    <w:rsid w:val="003B46CB"/>
    <w:rsid w:val="003B6A60"/>
    <w:rsid w:val="003C25A8"/>
    <w:rsid w:val="003C320D"/>
    <w:rsid w:val="003D18F3"/>
    <w:rsid w:val="003D4D44"/>
    <w:rsid w:val="003E3733"/>
    <w:rsid w:val="003E3D72"/>
    <w:rsid w:val="003E7DFB"/>
    <w:rsid w:val="003F382E"/>
    <w:rsid w:val="003F4355"/>
    <w:rsid w:val="0040427A"/>
    <w:rsid w:val="00406109"/>
    <w:rsid w:val="00414B9A"/>
    <w:rsid w:val="0041665F"/>
    <w:rsid w:val="00423E06"/>
    <w:rsid w:val="00434512"/>
    <w:rsid w:val="00434DBD"/>
    <w:rsid w:val="00435F56"/>
    <w:rsid w:val="0043692A"/>
    <w:rsid w:val="004423DF"/>
    <w:rsid w:val="00442732"/>
    <w:rsid w:val="004509AC"/>
    <w:rsid w:val="00450C1A"/>
    <w:rsid w:val="00456CC6"/>
    <w:rsid w:val="00465FA7"/>
    <w:rsid w:val="00480CEA"/>
    <w:rsid w:val="00482C0C"/>
    <w:rsid w:val="00483D19"/>
    <w:rsid w:val="004862B4"/>
    <w:rsid w:val="004A5E7B"/>
    <w:rsid w:val="004A7FC6"/>
    <w:rsid w:val="004B0526"/>
    <w:rsid w:val="004B2C74"/>
    <w:rsid w:val="004B2E2A"/>
    <w:rsid w:val="004B44EA"/>
    <w:rsid w:val="004B50DD"/>
    <w:rsid w:val="004B7974"/>
    <w:rsid w:val="004C613B"/>
    <w:rsid w:val="004D4C2F"/>
    <w:rsid w:val="004E2F70"/>
    <w:rsid w:val="004F0DCB"/>
    <w:rsid w:val="004F6270"/>
    <w:rsid w:val="004F792D"/>
    <w:rsid w:val="00505214"/>
    <w:rsid w:val="00514A20"/>
    <w:rsid w:val="00525A2F"/>
    <w:rsid w:val="00526F5B"/>
    <w:rsid w:val="00535347"/>
    <w:rsid w:val="00541921"/>
    <w:rsid w:val="00542AF0"/>
    <w:rsid w:val="00542C24"/>
    <w:rsid w:val="0055263B"/>
    <w:rsid w:val="00552A81"/>
    <w:rsid w:val="005558AE"/>
    <w:rsid w:val="0055630B"/>
    <w:rsid w:val="0056436D"/>
    <w:rsid w:val="0057743E"/>
    <w:rsid w:val="00577834"/>
    <w:rsid w:val="005806FE"/>
    <w:rsid w:val="00591FA7"/>
    <w:rsid w:val="00596DE9"/>
    <w:rsid w:val="005C219C"/>
    <w:rsid w:val="005D318A"/>
    <w:rsid w:val="005D426D"/>
    <w:rsid w:val="005D6407"/>
    <w:rsid w:val="005E455B"/>
    <w:rsid w:val="005F0FCB"/>
    <w:rsid w:val="005F1955"/>
    <w:rsid w:val="00615F27"/>
    <w:rsid w:val="00621112"/>
    <w:rsid w:val="006306FA"/>
    <w:rsid w:val="00636617"/>
    <w:rsid w:val="00642F96"/>
    <w:rsid w:val="00664999"/>
    <w:rsid w:val="006703B7"/>
    <w:rsid w:val="0067490A"/>
    <w:rsid w:val="00674DB4"/>
    <w:rsid w:val="006901E8"/>
    <w:rsid w:val="00692B44"/>
    <w:rsid w:val="006A0908"/>
    <w:rsid w:val="006A416F"/>
    <w:rsid w:val="006A629E"/>
    <w:rsid w:val="006A747F"/>
    <w:rsid w:val="006C389D"/>
    <w:rsid w:val="006D42D4"/>
    <w:rsid w:val="006E3396"/>
    <w:rsid w:val="006E3BCE"/>
    <w:rsid w:val="006F7CAE"/>
    <w:rsid w:val="00702419"/>
    <w:rsid w:val="00704E2A"/>
    <w:rsid w:val="007059D2"/>
    <w:rsid w:val="00726282"/>
    <w:rsid w:val="00727278"/>
    <w:rsid w:val="007406BB"/>
    <w:rsid w:val="00741875"/>
    <w:rsid w:val="007425F0"/>
    <w:rsid w:val="007453FF"/>
    <w:rsid w:val="00751D65"/>
    <w:rsid w:val="007602EA"/>
    <w:rsid w:val="00765864"/>
    <w:rsid w:val="007678E9"/>
    <w:rsid w:val="00767CAD"/>
    <w:rsid w:val="00775E52"/>
    <w:rsid w:val="00780D76"/>
    <w:rsid w:val="007810C5"/>
    <w:rsid w:val="00793045"/>
    <w:rsid w:val="007A09FC"/>
    <w:rsid w:val="007A137E"/>
    <w:rsid w:val="007B7282"/>
    <w:rsid w:val="007C7F46"/>
    <w:rsid w:val="007D169F"/>
    <w:rsid w:val="007D16C0"/>
    <w:rsid w:val="007D1873"/>
    <w:rsid w:val="007D40DD"/>
    <w:rsid w:val="007E05C7"/>
    <w:rsid w:val="007E5758"/>
    <w:rsid w:val="007F73FA"/>
    <w:rsid w:val="00801BB5"/>
    <w:rsid w:val="00810611"/>
    <w:rsid w:val="00810CD7"/>
    <w:rsid w:val="00813A79"/>
    <w:rsid w:val="008207B1"/>
    <w:rsid w:val="00820AF3"/>
    <w:rsid w:val="00826C0D"/>
    <w:rsid w:val="00836146"/>
    <w:rsid w:val="00845814"/>
    <w:rsid w:val="00853864"/>
    <w:rsid w:val="00860080"/>
    <w:rsid w:val="00862219"/>
    <w:rsid w:val="00863F82"/>
    <w:rsid w:val="00865B57"/>
    <w:rsid w:val="008679AB"/>
    <w:rsid w:val="00872B3A"/>
    <w:rsid w:val="00876F3C"/>
    <w:rsid w:val="00886D9B"/>
    <w:rsid w:val="008A0A1A"/>
    <w:rsid w:val="008C5B1F"/>
    <w:rsid w:val="008C6FCE"/>
    <w:rsid w:val="008C7676"/>
    <w:rsid w:val="008F29CF"/>
    <w:rsid w:val="00900DBC"/>
    <w:rsid w:val="00905B61"/>
    <w:rsid w:val="00911F1A"/>
    <w:rsid w:val="00912085"/>
    <w:rsid w:val="00913F02"/>
    <w:rsid w:val="00925A51"/>
    <w:rsid w:val="00931BB5"/>
    <w:rsid w:val="00934CCF"/>
    <w:rsid w:val="00950413"/>
    <w:rsid w:val="00960435"/>
    <w:rsid w:val="00963E09"/>
    <w:rsid w:val="009662D3"/>
    <w:rsid w:val="00967DA5"/>
    <w:rsid w:val="00971845"/>
    <w:rsid w:val="009739C0"/>
    <w:rsid w:val="0097684B"/>
    <w:rsid w:val="00981255"/>
    <w:rsid w:val="0098787E"/>
    <w:rsid w:val="009A426D"/>
    <w:rsid w:val="009B5E28"/>
    <w:rsid w:val="009C0729"/>
    <w:rsid w:val="009C4144"/>
    <w:rsid w:val="009C4A88"/>
    <w:rsid w:val="009C541B"/>
    <w:rsid w:val="009C5CFA"/>
    <w:rsid w:val="009D4F06"/>
    <w:rsid w:val="009D6E10"/>
    <w:rsid w:val="009E06D6"/>
    <w:rsid w:val="009E655B"/>
    <w:rsid w:val="00A12CDE"/>
    <w:rsid w:val="00A12EF8"/>
    <w:rsid w:val="00A16F5C"/>
    <w:rsid w:val="00A22044"/>
    <w:rsid w:val="00A267EB"/>
    <w:rsid w:val="00A26A08"/>
    <w:rsid w:val="00A31815"/>
    <w:rsid w:val="00A34EBB"/>
    <w:rsid w:val="00A457E8"/>
    <w:rsid w:val="00A51776"/>
    <w:rsid w:val="00A55106"/>
    <w:rsid w:val="00A57EB9"/>
    <w:rsid w:val="00A6685E"/>
    <w:rsid w:val="00A67587"/>
    <w:rsid w:val="00A8114F"/>
    <w:rsid w:val="00A8408E"/>
    <w:rsid w:val="00A86DF0"/>
    <w:rsid w:val="00A87D39"/>
    <w:rsid w:val="00A91AFD"/>
    <w:rsid w:val="00A91C01"/>
    <w:rsid w:val="00A93700"/>
    <w:rsid w:val="00A94E4C"/>
    <w:rsid w:val="00A970A2"/>
    <w:rsid w:val="00AA2A12"/>
    <w:rsid w:val="00AA3F56"/>
    <w:rsid w:val="00AB7C66"/>
    <w:rsid w:val="00AC0E04"/>
    <w:rsid w:val="00AC4481"/>
    <w:rsid w:val="00AC6B12"/>
    <w:rsid w:val="00AC6E73"/>
    <w:rsid w:val="00AD024A"/>
    <w:rsid w:val="00AD535F"/>
    <w:rsid w:val="00AE2091"/>
    <w:rsid w:val="00AE6AA9"/>
    <w:rsid w:val="00AF267C"/>
    <w:rsid w:val="00B04F40"/>
    <w:rsid w:val="00B059DE"/>
    <w:rsid w:val="00B15D13"/>
    <w:rsid w:val="00B2083E"/>
    <w:rsid w:val="00B315F6"/>
    <w:rsid w:val="00B34843"/>
    <w:rsid w:val="00B35826"/>
    <w:rsid w:val="00B44C60"/>
    <w:rsid w:val="00B46FDA"/>
    <w:rsid w:val="00B50908"/>
    <w:rsid w:val="00B51D0A"/>
    <w:rsid w:val="00B714FB"/>
    <w:rsid w:val="00B81E1E"/>
    <w:rsid w:val="00B82F23"/>
    <w:rsid w:val="00BA01DA"/>
    <w:rsid w:val="00BA1EE2"/>
    <w:rsid w:val="00BA2EC0"/>
    <w:rsid w:val="00BA72AD"/>
    <w:rsid w:val="00BB341E"/>
    <w:rsid w:val="00BB373C"/>
    <w:rsid w:val="00BB4995"/>
    <w:rsid w:val="00BC1D18"/>
    <w:rsid w:val="00BC343A"/>
    <w:rsid w:val="00BC43F4"/>
    <w:rsid w:val="00BC5A17"/>
    <w:rsid w:val="00BC606C"/>
    <w:rsid w:val="00BC6519"/>
    <w:rsid w:val="00BD026E"/>
    <w:rsid w:val="00BD0D69"/>
    <w:rsid w:val="00BD0DB4"/>
    <w:rsid w:val="00BD3411"/>
    <w:rsid w:val="00BD3480"/>
    <w:rsid w:val="00BD78C4"/>
    <w:rsid w:val="00BF1564"/>
    <w:rsid w:val="00BF367F"/>
    <w:rsid w:val="00BF4215"/>
    <w:rsid w:val="00C035D1"/>
    <w:rsid w:val="00C06F7B"/>
    <w:rsid w:val="00C21384"/>
    <w:rsid w:val="00C21510"/>
    <w:rsid w:val="00C22B7B"/>
    <w:rsid w:val="00C25D70"/>
    <w:rsid w:val="00C30C6D"/>
    <w:rsid w:val="00C322C0"/>
    <w:rsid w:val="00C32322"/>
    <w:rsid w:val="00C354F3"/>
    <w:rsid w:val="00C50EFE"/>
    <w:rsid w:val="00C561EB"/>
    <w:rsid w:val="00C57C88"/>
    <w:rsid w:val="00C630A0"/>
    <w:rsid w:val="00C67CB9"/>
    <w:rsid w:val="00C745CE"/>
    <w:rsid w:val="00C7492D"/>
    <w:rsid w:val="00C75593"/>
    <w:rsid w:val="00C91258"/>
    <w:rsid w:val="00C936C6"/>
    <w:rsid w:val="00C93EC3"/>
    <w:rsid w:val="00CB2BCF"/>
    <w:rsid w:val="00CC6175"/>
    <w:rsid w:val="00CC62EE"/>
    <w:rsid w:val="00CD060A"/>
    <w:rsid w:val="00CD2E5D"/>
    <w:rsid w:val="00CE7B2A"/>
    <w:rsid w:val="00CF1C69"/>
    <w:rsid w:val="00CF241D"/>
    <w:rsid w:val="00D05638"/>
    <w:rsid w:val="00D122A1"/>
    <w:rsid w:val="00D129C1"/>
    <w:rsid w:val="00D16C15"/>
    <w:rsid w:val="00D20398"/>
    <w:rsid w:val="00D36B9C"/>
    <w:rsid w:val="00D40046"/>
    <w:rsid w:val="00D4176D"/>
    <w:rsid w:val="00D42297"/>
    <w:rsid w:val="00D46491"/>
    <w:rsid w:val="00D47038"/>
    <w:rsid w:val="00D63134"/>
    <w:rsid w:val="00D63C4A"/>
    <w:rsid w:val="00D70C48"/>
    <w:rsid w:val="00D7548D"/>
    <w:rsid w:val="00D77024"/>
    <w:rsid w:val="00D826EB"/>
    <w:rsid w:val="00D848A9"/>
    <w:rsid w:val="00D86C67"/>
    <w:rsid w:val="00D86E30"/>
    <w:rsid w:val="00DA1B4E"/>
    <w:rsid w:val="00DA2B86"/>
    <w:rsid w:val="00DB3DA9"/>
    <w:rsid w:val="00DB468E"/>
    <w:rsid w:val="00DB66F1"/>
    <w:rsid w:val="00DC4597"/>
    <w:rsid w:val="00DD3DFE"/>
    <w:rsid w:val="00DF0568"/>
    <w:rsid w:val="00DF6771"/>
    <w:rsid w:val="00E11C9F"/>
    <w:rsid w:val="00E13107"/>
    <w:rsid w:val="00E16C13"/>
    <w:rsid w:val="00E274CB"/>
    <w:rsid w:val="00E32D59"/>
    <w:rsid w:val="00E36C5C"/>
    <w:rsid w:val="00E41187"/>
    <w:rsid w:val="00E41929"/>
    <w:rsid w:val="00E41936"/>
    <w:rsid w:val="00E43460"/>
    <w:rsid w:val="00E46D1E"/>
    <w:rsid w:val="00E5062F"/>
    <w:rsid w:val="00E521E7"/>
    <w:rsid w:val="00E57FC2"/>
    <w:rsid w:val="00E701AA"/>
    <w:rsid w:val="00E73020"/>
    <w:rsid w:val="00E7435E"/>
    <w:rsid w:val="00E7516F"/>
    <w:rsid w:val="00E77A9C"/>
    <w:rsid w:val="00E865D6"/>
    <w:rsid w:val="00E90E49"/>
    <w:rsid w:val="00EA3801"/>
    <w:rsid w:val="00EA4B14"/>
    <w:rsid w:val="00EB1104"/>
    <w:rsid w:val="00EB29BD"/>
    <w:rsid w:val="00ED114B"/>
    <w:rsid w:val="00ED6FEF"/>
    <w:rsid w:val="00ED767B"/>
    <w:rsid w:val="00EE0B51"/>
    <w:rsid w:val="00EE6709"/>
    <w:rsid w:val="00EF2834"/>
    <w:rsid w:val="00EF3DAF"/>
    <w:rsid w:val="00EF4BE0"/>
    <w:rsid w:val="00EF6441"/>
    <w:rsid w:val="00F07E3A"/>
    <w:rsid w:val="00F21CC2"/>
    <w:rsid w:val="00F26F33"/>
    <w:rsid w:val="00F33F5B"/>
    <w:rsid w:val="00F43A8A"/>
    <w:rsid w:val="00F512E4"/>
    <w:rsid w:val="00F54206"/>
    <w:rsid w:val="00F5609E"/>
    <w:rsid w:val="00F63194"/>
    <w:rsid w:val="00F9281B"/>
    <w:rsid w:val="00FA136C"/>
    <w:rsid w:val="00FA437D"/>
    <w:rsid w:val="00FB238F"/>
    <w:rsid w:val="00FB3AEE"/>
    <w:rsid w:val="00FB4651"/>
    <w:rsid w:val="00FB7BC1"/>
    <w:rsid w:val="00FB7FA7"/>
    <w:rsid w:val="00FC3DDE"/>
    <w:rsid w:val="00FC5976"/>
    <w:rsid w:val="00FD31E3"/>
    <w:rsid w:val="00FE3752"/>
    <w:rsid w:val="00FE5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E592F-9275-4778-B02D-68192A436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58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7587"/>
    <w:rPr>
      <w:color w:val="0563C1" w:themeColor="hyperlink"/>
      <w:u w:val="single"/>
    </w:rPr>
  </w:style>
  <w:style w:type="paragraph" w:styleId="a4">
    <w:name w:val="Body Text"/>
    <w:aliases w:val="Çàã1,BO,ID,body indent,andrad,EHPT,Body Text2,body text,body text Знак,body text Знак Знак,bt,ändrad,body text1,bt1,body text2,bt2,body text11,bt11,body text3,bt3,paragraph 2,paragraph 21,b,Body Text level 2,A=&gt;2=&gt;9 B5:AB,Знак2"/>
    <w:basedOn w:val="a"/>
    <w:link w:val="1"/>
    <w:semiHidden/>
    <w:unhideWhenUsed/>
    <w:rsid w:val="00A67587"/>
    <w:pPr>
      <w:spacing w:after="120"/>
    </w:pPr>
  </w:style>
  <w:style w:type="character" w:customStyle="1" w:styleId="a5">
    <w:name w:val="Основной текст Знак"/>
    <w:basedOn w:val="a0"/>
    <w:uiPriority w:val="99"/>
    <w:semiHidden/>
    <w:rsid w:val="00A67587"/>
    <w:rPr>
      <w:rFonts w:ascii="Times New Roman" w:eastAsia="Times New Roman" w:hAnsi="Times New Roman" w:cs="Times New Roman"/>
      <w:sz w:val="24"/>
      <w:szCs w:val="24"/>
      <w:lang w:eastAsia="ar-SA"/>
    </w:rPr>
  </w:style>
  <w:style w:type="character" w:customStyle="1" w:styleId="a6">
    <w:name w:val="Список Знак"/>
    <w:link w:val="a7"/>
    <w:semiHidden/>
    <w:locked/>
    <w:rsid w:val="00A67587"/>
    <w:rPr>
      <w:rFonts w:ascii="Tahoma" w:hAnsi="Tahoma" w:cs="Tahoma"/>
      <w:sz w:val="24"/>
      <w:szCs w:val="24"/>
      <w:lang w:eastAsia="ar-SA"/>
    </w:rPr>
  </w:style>
  <w:style w:type="paragraph" w:styleId="a7">
    <w:name w:val="List"/>
    <w:basedOn w:val="a4"/>
    <w:link w:val="a6"/>
    <w:semiHidden/>
    <w:unhideWhenUsed/>
    <w:rsid w:val="00A67587"/>
    <w:rPr>
      <w:rFonts w:ascii="Tahoma" w:eastAsiaTheme="minorHAnsi" w:hAnsi="Tahoma" w:cs="Tahoma"/>
    </w:rPr>
  </w:style>
  <w:style w:type="character" w:customStyle="1" w:styleId="1">
    <w:name w:val="Основной текст Знак1"/>
    <w:aliases w:val="Çàã1 Знак1,BO Знак1,ID Знак1,body indent Знак1,andrad Знак1,EHPT Знак1,Body Text2 Знак1,body text Знак2,body text Знак Знак2,body text Знак Знак Знак1,bt Знак1,ändrad Знак1,body text1 Знак1,bt1 Знак1,body text2 Знак1,bt2 Знак1"/>
    <w:link w:val="a4"/>
    <w:semiHidden/>
    <w:locked/>
    <w:rsid w:val="00A67587"/>
    <w:rPr>
      <w:rFonts w:ascii="Times New Roman" w:eastAsia="Times New Roman" w:hAnsi="Times New Roman" w:cs="Times New Roman"/>
      <w:sz w:val="24"/>
      <w:szCs w:val="24"/>
      <w:lang w:eastAsia="ar-SA"/>
    </w:rPr>
  </w:style>
  <w:style w:type="paragraph" w:styleId="a8">
    <w:name w:val="No Spacing"/>
    <w:qFormat/>
    <w:rsid w:val="00A67587"/>
    <w:pPr>
      <w:spacing w:after="0" w:line="240" w:lineRule="auto"/>
      <w:ind w:firstLine="709"/>
      <w:jc w:val="both"/>
    </w:pPr>
    <w:rPr>
      <w:rFonts w:ascii="Calibri" w:eastAsia="Calibri" w:hAnsi="Calibri" w:cs="Times New Roman"/>
    </w:rPr>
  </w:style>
  <w:style w:type="character" w:customStyle="1" w:styleId="ConsPlusNormal">
    <w:name w:val="ConsPlusNormal Знак"/>
    <w:link w:val="ConsPlusNormal0"/>
    <w:locked/>
    <w:rsid w:val="00A67587"/>
    <w:rPr>
      <w:rFonts w:ascii="Arial" w:hAnsi="Arial" w:cs="Arial"/>
    </w:rPr>
  </w:style>
  <w:style w:type="paragraph" w:customStyle="1" w:styleId="ConsPlusNormal0">
    <w:name w:val="ConsPlusNormal"/>
    <w:link w:val="ConsPlusNormal"/>
    <w:rsid w:val="00A67587"/>
    <w:pPr>
      <w:autoSpaceDE w:val="0"/>
      <w:autoSpaceDN w:val="0"/>
      <w:adjustRightInd w:val="0"/>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58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file:///\\10.24.201.254\zakup\&#1054;&#1074;&#1095;&#1072;&#1088;%20&#1045;&#1082;&#1072;&#1090;&#1077;&#1088;&#1080;&#1085;&#1072;\04&#1050;-122,%20&#1054;&#1090;&#1082;&#1088;&#1099;&#1090;&#1099;&#1081;%20&#1082;&#1086;&#1085;&#1082;&#1091;&#1088;&#1089;,%20&#1086;&#1088;&#1090;&#1086;&#1087;&#1077;&#1076;&#1080;&#1095;&#1077;&#1089;&#1082;&#1072;&#1103;%20&#1086;&#1073;&#1091;&#1074;&#1100;\04&#1050;-122,%20&#1048;&#1079;&#1074;&#1077;&#1097;&#1077;&#1085;&#1080;&#1077;,%20&#1086;&#1088;&#1090;&#1086;&#1087;&#1077;&#1076;&#1080;&#1095;&#1077;&#1089;&#1082;&#1072;&#1103;%20&#1086;&#1073;&#1091;&#1074;&#1100;.doc" TargetMode="External"/><Relationship Id="rId3" Type="http://schemas.openxmlformats.org/officeDocument/2006/relationships/webSettings" Target="webSettings.xml"/><Relationship Id="rId7" Type="http://schemas.openxmlformats.org/officeDocument/2006/relationships/hyperlink" Target="consultantplus://offline/ref=607206B45D0782682C76A26BA0FC405A5207D3E8F266694BC75AAAD2AD08E343D74D49499E8F0E431D54A8CD6D9AF609CE643CA71F66T0ZAK" TargetMode="External"/><Relationship Id="rId12" Type="http://schemas.openxmlformats.org/officeDocument/2006/relationships/hyperlink" Target="file:///\\10.24.201.254\zakup\&#1054;&#1074;&#1095;&#1072;&#1088;%20&#1045;&#1082;&#1072;&#1090;&#1077;&#1088;&#1080;&#1085;&#1072;\04&#1050;-122,%20&#1054;&#1090;&#1082;&#1088;&#1099;&#1090;&#1099;&#1081;%20&#1082;&#1086;&#1085;&#1082;&#1091;&#1088;&#1089;,%20&#1086;&#1088;&#1090;&#1086;&#1087;&#1077;&#1076;&#1080;&#1095;&#1077;&#1089;&#1082;&#1072;&#1103;%20&#1086;&#1073;&#1091;&#1074;&#1100;\04&#1050;-122,%20&#1048;&#1079;&#1074;&#1077;&#1097;&#1077;&#1085;&#1080;&#1077;,%20&#1086;&#1088;&#1090;&#1086;&#1087;&#1077;&#1076;&#1080;&#1095;&#1077;&#1089;&#1082;&#1072;&#1103;%20&#1086;&#1073;&#1091;&#1074;&#1100;.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07206B45D0782682C76A26BA0FC405A5207D3E8F266694BC75AAAD2AD08E343D74D49499E8F0E431D54A8CD6D9AF609CE643CA71F66T0ZAK" TargetMode="Externa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hyperlink" Target="consultantplus://offline/ref=607206B45D0782682C76A26BA0FC405A5207D3E8F266694BC75AAAD2AD08E343D74D49499E8F0E431D54A8CD6D9AF609CE643CA71F66T0ZAK" TargetMode="External"/><Relationship Id="rId4" Type="http://schemas.openxmlformats.org/officeDocument/2006/relationships/hyperlink" Target="file:///\\10.24.201.254\zakup\&#1054;&#1074;&#1095;&#1072;&#1088;%20&#1045;&#1082;&#1072;&#1090;&#1077;&#1088;&#1080;&#1085;&#1072;\04&#1050;-122,%20&#1054;&#1090;&#1082;&#1088;&#1099;&#1090;&#1099;&#1081;%20&#1082;&#1086;&#1085;&#1082;&#1091;&#1088;&#1089;,%20&#1086;&#1088;&#1090;&#1086;&#1087;&#1077;&#1076;&#1080;&#1095;&#1077;&#1089;&#1082;&#1072;&#1103;%20&#1086;&#1073;&#1091;&#1074;&#1100;\04&#1050;-122,%20&#1048;&#1079;&#1074;&#1077;&#1097;&#1077;&#1085;&#1080;&#1077;,%20&#1086;&#1088;&#1090;&#1086;&#1087;&#1077;&#1076;&#1080;&#1095;&#1077;&#1089;&#1082;&#1072;&#1103;%20&#1086;&#1073;&#1091;&#1074;&#1100;.doc" TargetMode="External"/><Relationship Id="rId9" Type="http://schemas.openxmlformats.org/officeDocument/2006/relationships/hyperlink" Target="consultantplus://offline/ref=607206B45D0782682C76A26BA0FC405A5207D3E8F266694BC75AAAD2AD08E343D74D49499E8F0E431D54A8CD6D9AF609CE643CA71F66T0ZA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1301</Words>
  <Characters>7420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Колокольников Дмитрий Анатольевич</dc:creator>
  <cp:keywords/>
  <dc:description/>
  <cp:lastModifiedBy>Колокольников Дмитрий Анатольевич</cp:lastModifiedBy>
  <cp:revision>1</cp:revision>
  <dcterms:created xsi:type="dcterms:W3CDTF">2022-03-25T08:28:00Z</dcterms:created>
  <dcterms:modified xsi:type="dcterms:W3CDTF">2022-03-25T09:02:00Z</dcterms:modified>
</cp:coreProperties>
</file>