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79A" w:rsidRPr="0087610D" w:rsidRDefault="003D479A" w:rsidP="0087610D">
      <w:pPr>
        <w:tabs>
          <w:tab w:val="left" w:pos="6237"/>
        </w:tabs>
        <w:jc w:val="center"/>
        <w:rPr>
          <w:b/>
          <w:szCs w:val="24"/>
        </w:rPr>
      </w:pPr>
      <w:r w:rsidRPr="0087610D">
        <w:rPr>
          <w:b/>
          <w:szCs w:val="24"/>
        </w:rPr>
        <w:t xml:space="preserve">Критерии оценки заявок на участие в конкурсе, величины значимости этих критериев </w:t>
      </w:r>
    </w:p>
    <w:p w:rsidR="003D479A" w:rsidRPr="0087610D" w:rsidRDefault="003D479A" w:rsidP="0087610D">
      <w:pPr>
        <w:tabs>
          <w:tab w:val="left" w:pos="6237"/>
        </w:tabs>
        <w:jc w:val="center"/>
        <w:rPr>
          <w:b/>
          <w:szCs w:val="24"/>
        </w:rPr>
      </w:pPr>
    </w:p>
    <w:p w:rsidR="002256BE" w:rsidRPr="00A52F58" w:rsidRDefault="00C131AD" w:rsidP="002256BE">
      <w:pPr>
        <w:keepNext/>
        <w:keepLines/>
        <w:jc w:val="center"/>
        <w:rPr>
          <w:b/>
          <w:bCs/>
        </w:rPr>
      </w:pPr>
      <w:r w:rsidRPr="0087610D">
        <w:rPr>
          <w:b/>
          <w:szCs w:val="24"/>
        </w:rPr>
        <w:t>В</w:t>
      </w:r>
      <w:r w:rsidR="002256BE">
        <w:rPr>
          <w:b/>
          <w:szCs w:val="24"/>
        </w:rPr>
        <w:t>ыполнение работ по</w:t>
      </w:r>
      <w:r w:rsidR="002256BE" w:rsidRPr="00A52F58">
        <w:rPr>
          <w:b/>
          <w:bCs/>
        </w:rPr>
        <w:t xml:space="preserve"> обеспечению инвалидов протезами</w:t>
      </w:r>
      <w:r w:rsidR="002256BE">
        <w:rPr>
          <w:b/>
          <w:bCs/>
        </w:rPr>
        <w:t>.</w:t>
      </w:r>
    </w:p>
    <w:p w:rsidR="00CD79DB" w:rsidRPr="0087610D" w:rsidRDefault="00CD79DB" w:rsidP="0087610D">
      <w:pPr>
        <w:jc w:val="center"/>
        <w:rPr>
          <w:szCs w:val="24"/>
        </w:rPr>
      </w:pPr>
    </w:p>
    <w:p w:rsidR="00CD79DB" w:rsidRPr="0087610D" w:rsidRDefault="000A6795" w:rsidP="0087610D">
      <w:pPr>
        <w:tabs>
          <w:tab w:val="left" w:pos="6735"/>
        </w:tabs>
        <w:ind w:firstLine="567"/>
        <w:jc w:val="both"/>
        <w:rPr>
          <w:szCs w:val="24"/>
        </w:rPr>
      </w:pPr>
      <w:proofErr w:type="gramStart"/>
      <w:r w:rsidRPr="0087610D">
        <w:rPr>
          <w:szCs w:val="24"/>
        </w:rPr>
        <w:t xml:space="preserve">Оценка заявок на участие в открытом конкурсе в электронной форме </w:t>
      </w:r>
      <w:r w:rsidR="00260EB5" w:rsidRPr="0087610D">
        <w:rPr>
          <w:szCs w:val="24"/>
        </w:rPr>
        <w:t xml:space="preserve">осуществляется в соответствии со ст. 32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w:t>
      </w:r>
      <w:r w:rsidRPr="0087610D">
        <w:rPr>
          <w:szCs w:val="24"/>
        </w:rPr>
        <w:t>Положением об оценке заявок на участие в закупке товаров, работ, услуг для обеспечения государственных и муниципальных нужд, утвержденным</w:t>
      </w:r>
      <w:proofErr w:type="gramEnd"/>
      <w:r w:rsidRPr="0087610D">
        <w:rPr>
          <w:szCs w:val="24"/>
        </w:rPr>
        <w:t xml:space="preserve"> </w:t>
      </w:r>
      <w:proofErr w:type="gramStart"/>
      <w:r w:rsidRPr="0087610D">
        <w:rPr>
          <w:szCs w:val="24"/>
        </w:rPr>
        <w:t>постановлением Правительства РФ от 31.12.2021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w:t>
      </w:r>
      <w:r w:rsidR="00915519">
        <w:rPr>
          <w:szCs w:val="24"/>
        </w:rPr>
        <w:t xml:space="preserve">дерации от 20 декабря 2021 г. № </w:t>
      </w:r>
      <w:r w:rsidRPr="0087610D">
        <w:rPr>
          <w:szCs w:val="24"/>
        </w:rPr>
        <w:t>2369 и признании утратившими силу некоторых актов и отдельных положений некоторых актов Правительства Российской Федерации»</w:t>
      </w:r>
      <w:r w:rsidR="00A05E1B" w:rsidRPr="0087610D">
        <w:rPr>
          <w:szCs w:val="24"/>
        </w:rPr>
        <w:t xml:space="preserve"> (далее – Положение)</w:t>
      </w:r>
      <w:r w:rsidR="00CD79DB" w:rsidRPr="0087610D">
        <w:rPr>
          <w:szCs w:val="24"/>
        </w:rPr>
        <w:t>.</w:t>
      </w:r>
      <w:proofErr w:type="gramEnd"/>
    </w:p>
    <w:p w:rsidR="00CD79DB" w:rsidRPr="0087610D" w:rsidRDefault="00CD79DB" w:rsidP="0087610D">
      <w:pPr>
        <w:tabs>
          <w:tab w:val="left" w:pos="6735"/>
        </w:tabs>
        <w:ind w:firstLine="567"/>
        <w:jc w:val="both"/>
        <w:rPr>
          <w:szCs w:val="24"/>
        </w:rPr>
      </w:pPr>
      <w:r w:rsidRPr="0087610D">
        <w:rPr>
          <w:szCs w:val="24"/>
        </w:rPr>
        <w:t>Оценка заявок на участие в открытом конкурсе в электронной форме осуществляется с использованием следующих критериев оценки заявок:</w:t>
      </w:r>
    </w:p>
    <w:p w:rsidR="00A05E1B" w:rsidRPr="0087610D" w:rsidRDefault="00A05E1B" w:rsidP="0087610D">
      <w:pPr>
        <w:ind w:firstLine="540"/>
        <w:jc w:val="both"/>
        <w:rPr>
          <w:color w:val="auto"/>
          <w:szCs w:val="24"/>
        </w:rPr>
      </w:pPr>
      <w:r w:rsidRPr="0087610D">
        <w:rPr>
          <w:color w:val="auto"/>
          <w:szCs w:val="24"/>
        </w:rPr>
        <w:t xml:space="preserve">1) </w:t>
      </w:r>
      <w:r w:rsidR="00260EB5" w:rsidRPr="0087610D">
        <w:rPr>
          <w:color w:val="auto"/>
          <w:szCs w:val="24"/>
        </w:rPr>
        <w:t>цена контракта, сумма цен единиц товара, работы, услуги</w:t>
      </w:r>
      <w:r w:rsidRPr="0087610D">
        <w:rPr>
          <w:color w:val="auto"/>
          <w:szCs w:val="24"/>
        </w:rPr>
        <w:t>;</w:t>
      </w:r>
    </w:p>
    <w:p w:rsidR="00A05E1B" w:rsidRPr="0087610D" w:rsidRDefault="00A05E1B" w:rsidP="0087610D">
      <w:pPr>
        <w:ind w:firstLine="540"/>
        <w:jc w:val="both"/>
        <w:rPr>
          <w:color w:val="auto"/>
          <w:szCs w:val="24"/>
        </w:rPr>
      </w:pPr>
      <w:r w:rsidRPr="0087610D">
        <w:rPr>
          <w:szCs w:val="24"/>
        </w:rPr>
        <w:t>2</w:t>
      </w:r>
      <w:r w:rsidRPr="0087610D">
        <w:rPr>
          <w:color w:val="auto"/>
          <w:szCs w:val="24"/>
        </w:rPr>
        <w:t>)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A05E1B" w:rsidRPr="0087610D" w:rsidRDefault="00A05E1B" w:rsidP="0087610D">
      <w:pPr>
        <w:tabs>
          <w:tab w:val="left" w:pos="6735"/>
        </w:tabs>
        <w:ind w:firstLine="540"/>
        <w:jc w:val="both"/>
        <w:rPr>
          <w:szCs w:val="24"/>
        </w:rPr>
      </w:pPr>
    </w:p>
    <w:p w:rsidR="00CD79DB" w:rsidRPr="0087610D" w:rsidRDefault="00AE7094" w:rsidP="0087610D">
      <w:pPr>
        <w:tabs>
          <w:tab w:val="left" w:pos="6735"/>
        </w:tabs>
        <w:ind w:firstLine="540"/>
        <w:jc w:val="both"/>
        <w:rPr>
          <w:szCs w:val="24"/>
        </w:rPr>
      </w:pPr>
      <w:r w:rsidRPr="0087610D">
        <w:rPr>
          <w:szCs w:val="24"/>
        </w:rPr>
        <w:t>В</w:t>
      </w:r>
      <w:r w:rsidR="00CD79DB" w:rsidRPr="0087610D">
        <w:rPr>
          <w:szCs w:val="24"/>
        </w:rPr>
        <w:t>еличина значимости критерия оценки, выраженная в процентах:</w:t>
      </w:r>
    </w:p>
    <w:p w:rsidR="00CD79DB" w:rsidRPr="0087610D" w:rsidRDefault="00CD79DB" w:rsidP="0087610D">
      <w:pPr>
        <w:ind w:firstLine="540"/>
        <w:jc w:val="both"/>
        <w:rPr>
          <w:szCs w:val="24"/>
        </w:rPr>
      </w:pPr>
      <w:r w:rsidRPr="0087610D">
        <w:rPr>
          <w:szCs w:val="24"/>
        </w:rPr>
        <w:t>а) цена контракта</w:t>
      </w:r>
      <w:r w:rsidR="003778FA" w:rsidRPr="0087610D">
        <w:rPr>
          <w:szCs w:val="24"/>
        </w:rPr>
        <w:t xml:space="preserve">, сумма цен единиц товара, работы, услуги </w:t>
      </w:r>
      <w:r w:rsidRPr="0087610D">
        <w:rPr>
          <w:szCs w:val="24"/>
        </w:rPr>
        <w:t>– 60%;</w:t>
      </w:r>
    </w:p>
    <w:p w:rsidR="00CD79DB" w:rsidRPr="0087610D" w:rsidRDefault="00CD79DB" w:rsidP="0087610D">
      <w:pPr>
        <w:tabs>
          <w:tab w:val="left" w:pos="6735"/>
        </w:tabs>
        <w:ind w:firstLine="540"/>
        <w:jc w:val="both"/>
        <w:rPr>
          <w:szCs w:val="24"/>
        </w:rPr>
      </w:pPr>
      <w:proofErr w:type="gramStart"/>
      <w:r w:rsidRPr="0087610D">
        <w:rPr>
          <w:szCs w:val="24"/>
        </w:rPr>
        <w:t xml:space="preserve">б) квалификация участника закупки, в том числе наличие у него финансовых ресурсов, оборудования и других материальных ресурсов, принадлежащих ему на праве собственности или на ином законном основании, опыта работы, связанного с предметом государственного контракта, и деловой репутации, специалистов и иных работников определенного уровня квалификации </w:t>
      </w:r>
      <w:r w:rsidR="00455F0C" w:rsidRPr="0087610D">
        <w:rPr>
          <w:szCs w:val="24"/>
        </w:rPr>
        <w:t xml:space="preserve">(далее соответственно - квалификация участников закупки, характеристика квалификации участников закупки) </w:t>
      </w:r>
      <w:r w:rsidRPr="0087610D">
        <w:rPr>
          <w:szCs w:val="24"/>
        </w:rPr>
        <w:t>– 40%.</w:t>
      </w:r>
      <w:proofErr w:type="gramEnd"/>
    </w:p>
    <w:p w:rsidR="00CD79DB" w:rsidRPr="0087610D" w:rsidRDefault="00746EF3" w:rsidP="0087610D">
      <w:pPr>
        <w:tabs>
          <w:tab w:val="left" w:pos="6735"/>
        </w:tabs>
        <w:ind w:firstLine="540"/>
        <w:jc w:val="both"/>
        <w:rPr>
          <w:szCs w:val="24"/>
        </w:rPr>
      </w:pPr>
      <w:r w:rsidRPr="0087610D">
        <w:rPr>
          <w:szCs w:val="24"/>
        </w:rPr>
        <w:t xml:space="preserve">Сумма величин значимости критериев оценки составляет 100 </w:t>
      </w:r>
      <w:r w:rsidR="00E271C8" w:rsidRPr="0087610D">
        <w:rPr>
          <w:szCs w:val="24"/>
        </w:rPr>
        <w:t>%</w:t>
      </w:r>
      <w:r w:rsidR="00CD79DB" w:rsidRPr="0087610D">
        <w:rPr>
          <w:szCs w:val="24"/>
        </w:rPr>
        <w:t>.</w:t>
      </w:r>
    </w:p>
    <w:p w:rsidR="00455F0C" w:rsidRPr="0087610D" w:rsidRDefault="00455F0C" w:rsidP="0087610D">
      <w:pPr>
        <w:tabs>
          <w:tab w:val="left" w:pos="6735"/>
        </w:tabs>
        <w:ind w:firstLine="567"/>
        <w:jc w:val="both"/>
        <w:rPr>
          <w:szCs w:val="24"/>
        </w:rPr>
      </w:pPr>
    </w:p>
    <w:p w:rsidR="00455F0C" w:rsidRPr="0087610D" w:rsidRDefault="007E799B" w:rsidP="0087610D">
      <w:pPr>
        <w:tabs>
          <w:tab w:val="left" w:pos="6735"/>
        </w:tabs>
        <w:ind w:firstLine="567"/>
        <w:jc w:val="both"/>
        <w:rPr>
          <w:szCs w:val="24"/>
        </w:rPr>
      </w:pPr>
      <w:r w:rsidRPr="0087610D">
        <w:rPr>
          <w:szCs w:val="24"/>
        </w:rPr>
        <w:t>При оценке</w:t>
      </w:r>
      <w:r w:rsidR="00455F0C" w:rsidRPr="0087610D">
        <w:rPr>
          <w:szCs w:val="24"/>
        </w:rPr>
        <w:t xml:space="preserve"> </w:t>
      </w:r>
      <w:r w:rsidR="00205927" w:rsidRPr="0087610D">
        <w:rPr>
          <w:szCs w:val="24"/>
        </w:rPr>
        <w:t>по критерию</w:t>
      </w:r>
      <w:r w:rsidR="00455F0C" w:rsidRPr="0087610D">
        <w:rPr>
          <w:szCs w:val="24"/>
        </w:rPr>
        <w:t xml:space="preserve"> квалификации участников закупки:</w:t>
      </w:r>
    </w:p>
    <w:p w:rsidR="00455F0C" w:rsidRPr="0087610D" w:rsidRDefault="00455F0C" w:rsidP="0087610D">
      <w:pPr>
        <w:ind w:firstLine="540"/>
        <w:jc w:val="both"/>
        <w:rPr>
          <w:color w:val="auto"/>
          <w:szCs w:val="24"/>
        </w:rPr>
      </w:pPr>
      <w:r w:rsidRPr="0087610D">
        <w:rPr>
          <w:szCs w:val="24"/>
        </w:rPr>
        <w:t>а) применяются показатели оценки</w:t>
      </w:r>
      <w:r w:rsidR="00D9573D" w:rsidRPr="0087610D">
        <w:rPr>
          <w:szCs w:val="24"/>
        </w:rPr>
        <w:t xml:space="preserve"> (</w:t>
      </w:r>
      <w:r w:rsidR="00D9573D" w:rsidRPr="0087610D">
        <w:rPr>
          <w:color w:val="auto"/>
          <w:szCs w:val="24"/>
        </w:rPr>
        <w:t>вид расхода, вид характеристики объекта закупки и вид характеристики квалификации участников закупки, детализирующие оценку заявок по соответствующему критерию оценки)</w:t>
      </w:r>
      <w:r w:rsidRPr="0087610D">
        <w:rPr>
          <w:szCs w:val="24"/>
        </w:rPr>
        <w:t>;</w:t>
      </w:r>
    </w:p>
    <w:p w:rsidR="00455F0C" w:rsidRPr="0087610D" w:rsidRDefault="00455F0C" w:rsidP="0087610D">
      <w:pPr>
        <w:ind w:firstLine="540"/>
        <w:jc w:val="both"/>
        <w:rPr>
          <w:color w:val="auto"/>
          <w:szCs w:val="24"/>
        </w:rPr>
      </w:pPr>
      <w:r w:rsidRPr="0087610D">
        <w:rPr>
          <w:szCs w:val="24"/>
        </w:rPr>
        <w:t>б) в отношении каждого показателя оценки устанавливается значимость показателя оценки</w:t>
      </w:r>
      <w:r w:rsidR="00221514" w:rsidRPr="0087610D">
        <w:rPr>
          <w:szCs w:val="24"/>
        </w:rPr>
        <w:t xml:space="preserve"> (</w:t>
      </w:r>
      <w:r w:rsidR="00221514" w:rsidRPr="0087610D">
        <w:rPr>
          <w:color w:val="auto"/>
          <w:szCs w:val="24"/>
        </w:rPr>
        <w:t>вес показателя оценки в процентах в совокупности всех показателей оценки, детализирующих оценку заявок по соответствующему критерию оценки</w:t>
      </w:r>
      <w:r w:rsidR="00221514" w:rsidRPr="0087610D">
        <w:rPr>
          <w:szCs w:val="24"/>
        </w:rPr>
        <w:t>)</w:t>
      </w:r>
      <w:r w:rsidRPr="0087610D">
        <w:rPr>
          <w:szCs w:val="24"/>
        </w:rPr>
        <w:t>. Сумма величин значимости всех применяемых показателей оценки по критерию оценки составляет 100 процентов;</w:t>
      </w:r>
    </w:p>
    <w:p w:rsidR="00455F0C" w:rsidRPr="0087610D" w:rsidRDefault="00455F0C" w:rsidP="0087610D">
      <w:pPr>
        <w:tabs>
          <w:tab w:val="left" w:pos="6735"/>
        </w:tabs>
        <w:ind w:firstLine="567"/>
        <w:jc w:val="both"/>
        <w:rPr>
          <w:szCs w:val="24"/>
        </w:rPr>
      </w:pPr>
      <w:r w:rsidRPr="0087610D">
        <w:rPr>
          <w:szCs w:val="24"/>
        </w:rPr>
        <w:t xml:space="preserve">в)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w:t>
      </w:r>
      <w:r w:rsidRPr="0087610D">
        <w:rPr>
          <w:szCs w:val="24"/>
        </w:rPr>
        <w:lastRenderedPageBreak/>
        <w:t>количества баллов, присвоенных каждым членом комиссии по осуществлению закупок, и последующего деления на количество таких членов</w:t>
      </w:r>
      <w:r w:rsidR="00AE7094" w:rsidRPr="0087610D">
        <w:rPr>
          <w:szCs w:val="24"/>
        </w:rPr>
        <w:t>.</w:t>
      </w:r>
    </w:p>
    <w:p w:rsidR="00455F0C" w:rsidRPr="0087610D" w:rsidRDefault="00455F0C" w:rsidP="0087610D">
      <w:pPr>
        <w:tabs>
          <w:tab w:val="left" w:pos="6735"/>
        </w:tabs>
        <w:ind w:firstLine="567"/>
        <w:jc w:val="both"/>
        <w:rPr>
          <w:szCs w:val="24"/>
        </w:rPr>
      </w:pPr>
    </w:p>
    <w:p w:rsidR="0012344F" w:rsidRPr="0087610D" w:rsidRDefault="00AE7094" w:rsidP="0087610D">
      <w:pPr>
        <w:tabs>
          <w:tab w:val="left" w:pos="6735"/>
        </w:tabs>
        <w:ind w:firstLine="567"/>
        <w:jc w:val="both"/>
        <w:rPr>
          <w:szCs w:val="24"/>
        </w:rPr>
      </w:pPr>
      <w:proofErr w:type="gramStart"/>
      <w:r w:rsidRPr="0087610D">
        <w:rPr>
          <w:szCs w:val="24"/>
        </w:rPr>
        <w:t>При</w:t>
      </w:r>
      <w:proofErr w:type="gramEnd"/>
      <w:r w:rsidR="0012344F" w:rsidRPr="0087610D">
        <w:rPr>
          <w:szCs w:val="24"/>
        </w:rPr>
        <w:t xml:space="preserve"> применения показателей оценки по </w:t>
      </w:r>
      <w:r w:rsidRPr="0087610D">
        <w:rPr>
          <w:szCs w:val="24"/>
        </w:rPr>
        <w:t>критерию оценки «квалификация участников закупки»</w:t>
      </w:r>
      <w:r w:rsidR="0012344F" w:rsidRPr="0087610D">
        <w:rPr>
          <w:szCs w:val="24"/>
        </w:rPr>
        <w:t>:</w:t>
      </w:r>
    </w:p>
    <w:p w:rsidR="0012344F" w:rsidRDefault="0012344F" w:rsidP="0087610D">
      <w:pPr>
        <w:tabs>
          <w:tab w:val="left" w:pos="6735"/>
        </w:tabs>
        <w:ind w:firstLine="567"/>
        <w:jc w:val="both"/>
        <w:rPr>
          <w:szCs w:val="24"/>
        </w:rPr>
      </w:pPr>
      <w:r w:rsidRPr="0087610D">
        <w:rPr>
          <w:szCs w:val="24"/>
        </w:rPr>
        <w:t>а) применяются детализирующие показатели;</w:t>
      </w:r>
    </w:p>
    <w:p w:rsidR="0012344F" w:rsidRPr="0087610D" w:rsidRDefault="00915519" w:rsidP="0087610D">
      <w:pPr>
        <w:tabs>
          <w:tab w:val="left" w:pos="6735"/>
        </w:tabs>
        <w:ind w:firstLine="567"/>
        <w:jc w:val="both"/>
        <w:rPr>
          <w:szCs w:val="24"/>
        </w:rPr>
      </w:pPr>
      <w:r>
        <w:rPr>
          <w:szCs w:val="24"/>
        </w:rPr>
        <w:t xml:space="preserve">б) </w:t>
      </w:r>
      <w:r w:rsidR="0012344F" w:rsidRPr="0087610D">
        <w:rPr>
          <w:szCs w:val="24"/>
        </w:rPr>
        <w:t>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12344F" w:rsidRPr="0087610D" w:rsidRDefault="0012344F" w:rsidP="0087610D">
      <w:pPr>
        <w:tabs>
          <w:tab w:val="left" w:pos="6735"/>
        </w:tabs>
        <w:ind w:firstLine="567"/>
        <w:jc w:val="both"/>
        <w:rPr>
          <w:szCs w:val="24"/>
        </w:rPr>
      </w:pPr>
      <w:r w:rsidRPr="0087610D">
        <w:rPr>
          <w:szCs w:val="24"/>
        </w:rPr>
        <w:t>в) 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r w:rsidR="00FB29F4" w:rsidRPr="0087610D">
        <w:rPr>
          <w:szCs w:val="24"/>
        </w:rPr>
        <w:t>.</w:t>
      </w:r>
    </w:p>
    <w:p w:rsidR="00E152A6" w:rsidRDefault="00E152A6" w:rsidP="0087610D">
      <w:pPr>
        <w:jc w:val="center"/>
        <w:rPr>
          <w:b/>
          <w:szCs w:val="24"/>
        </w:rPr>
      </w:pPr>
    </w:p>
    <w:p w:rsidR="004B1C8B" w:rsidRPr="0087610D" w:rsidRDefault="00D136E2" w:rsidP="0087610D">
      <w:pPr>
        <w:jc w:val="center"/>
        <w:rPr>
          <w:b/>
          <w:szCs w:val="24"/>
        </w:rPr>
      </w:pPr>
      <w:r w:rsidRPr="0087610D">
        <w:rPr>
          <w:b/>
          <w:szCs w:val="24"/>
        </w:rPr>
        <w:t>КРИТЕРИИ ОЦЕНКИ ЗАЯВОК НА УЧАСТИЕ В КОНКУРСЕ, ВЕЛИЧИНЫ ЗНАЧИМОСТИ ЭТИХ КРИТЕРИЕВ</w:t>
      </w:r>
    </w:p>
    <w:p w:rsidR="009C43F6" w:rsidRPr="0087610D" w:rsidRDefault="009C43F6" w:rsidP="0087610D">
      <w:pPr>
        <w:tabs>
          <w:tab w:val="left" w:pos="6735"/>
        </w:tabs>
        <w:ind w:firstLine="567"/>
        <w:jc w:val="cente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2"/>
        <w:gridCol w:w="3779"/>
        <w:gridCol w:w="1094"/>
        <w:gridCol w:w="1782"/>
        <w:gridCol w:w="1508"/>
        <w:gridCol w:w="3423"/>
        <w:gridCol w:w="2242"/>
      </w:tblGrid>
      <w:tr w:rsidR="0087610D" w:rsidRPr="0087610D" w:rsidTr="00E152A6">
        <w:tc>
          <w:tcPr>
            <w:tcW w:w="258" w:type="pct"/>
            <w:hideMark/>
          </w:tcPr>
          <w:p w:rsidR="009505A4" w:rsidRPr="0087610D" w:rsidRDefault="009505A4" w:rsidP="0087610D">
            <w:pPr>
              <w:jc w:val="center"/>
              <w:rPr>
                <w:szCs w:val="24"/>
              </w:rPr>
            </w:pPr>
            <w:r w:rsidRPr="0087610D">
              <w:rPr>
                <w:szCs w:val="24"/>
              </w:rPr>
              <w:t>№</w:t>
            </w:r>
          </w:p>
        </w:tc>
        <w:tc>
          <w:tcPr>
            <w:tcW w:w="1296" w:type="pct"/>
            <w:hideMark/>
          </w:tcPr>
          <w:p w:rsidR="009505A4" w:rsidRPr="00E152A6" w:rsidRDefault="009505A4" w:rsidP="0087610D">
            <w:pPr>
              <w:jc w:val="center"/>
              <w:rPr>
                <w:sz w:val="20"/>
              </w:rPr>
            </w:pPr>
            <w:r w:rsidRPr="00E152A6">
              <w:rPr>
                <w:sz w:val="20"/>
              </w:rPr>
              <w:t>Критерий оценки</w:t>
            </w:r>
          </w:p>
        </w:tc>
        <w:tc>
          <w:tcPr>
            <w:tcW w:w="375" w:type="pct"/>
            <w:hideMark/>
          </w:tcPr>
          <w:p w:rsidR="009505A4" w:rsidRPr="00E152A6" w:rsidRDefault="009505A4" w:rsidP="0087610D">
            <w:pPr>
              <w:jc w:val="center"/>
              <w:rPr>
                <w:sz w:val="20"/>
              </w:rPr>
            </w:pPr>
            <w:r w:rsidRPr="00E152A6">
              <w:rPr>
                <w:sz w:val="20"/>
              </w:rPr>
              <w:t>Значимость критерия оценки, процентов</w:t>
            </w:r>
          </w:p>
        </w:tc>
        <w:tc>
          <w:tcPr>
            <w:tcW w:w="611" w:type="pct"/>
            <w:hideMark/>
          </w:tcPr>
          <w:p w:rsidR="009505A4" w:rsidRPr="00E152A6" w:rsidRDefault="009505A4" w:rsidP="0087610D">
            <w:pPr>
              <w:jc w:val="center"/>
              <w:rPr>
                <w:sz w:val="20"/>
              </w:rPr>
            </w:pPr>
            <w:r w:rsidRPr="00E152A6">
              <w:rPr>
                <w:sz w:val="20"/>
              </w:rPr>
              <w:t>Показатель оценки</w:t>
            </w:r>
          </w:p>
        </w:tc>
        <w:tc>
          <w:tcPr>
            <w:tcW w:w="517" w:type="pct"/>
            <w:hideMark/>
          </w:tcPr>
          <w:p w:rsidR="009505A4" w:rsidRPr="00E152A6" w:rsidRDefault="009505A4" w:rsidP="0087610D">
            <w:pPr>
              <w:jc w:val="center"/>
              <w:rPr>
                <w:sz w:val="20"/>
              </w:rPr>
            </w:pPr>
            <w:r w:rsidRPr="00E152A6">
              <w:rPr>
                <w:sz w:val="20"/>
              </w:rPr>
              <w:t>Значимость показателя оценки, процентов</w:t>
            </w:r>
          </w:p>
        </w:tc>
        <w:tc>
          <w:tcPr>
            <w:tcW w:w="1174" w:type="pct"/>
            <w:hideMark/>
          </w:tcPr>
          <w:p w:rsidR="009505A4" w:rsidRPr="00E152A6" w:rsidRDefault="009505A4" w:rsidP="0087610D">
            <w:pPr>
              <w:jc w:val="center"/>
              <w:rPr>
                <w:sz w:val="20"/>
              </w:rPr>
            </w:pPr>
            <w:r w:rsidRPr="00E152A6">
              <w:rPr>
                <w:sz w:val="20"/>
              </w:rPr>
              <w:t>Показатель оценки, детализирующий показатель оценки</w:t>
            </w:r>
          </w:p>
        </w:tc>
        <w:tc>
          <w:tcPr>
            <w:tcW w:w="769" w:type="pct"/>
            <w:hideMark/>
          </w:tcPr>
          <w:p w:rsidR="009505A4" w:rsidRPr="00E152A6" w:rsidRDefault="009505A4" w:rsidP="0087610D">
            <w:pPr>
              <w:jc w:val="center"/>
              <w:rPr>
                <w:sz w:val="20"/>
              </w:rPr>
            </w:pPr>
            <w:r w:rsidRPr="00E152A6">
              <w:rPr>
                <w:sz w:val="20"/>
              </w:rPr>
              <w:t>Значимость показателя, детализирующего показатель оценки, процентов</w:t>
            </w:r>
          </w:p>
        </w:tc>
      </w:tr>
      <w:tr w:rsidR="00E152A6" w:rsidRPr="0087610D" w:rsidTr="00E152A6">
        <w:tc>
          <w:tcPr>
            <w:tcW w:w="258" w:type="pct"/>
            <w:hideMark/>
          </w:tcPr>
          <w:p w:rsidR="009505A4" w:rsidRPr="00E152A6" w:rsidRDefault="009505A4" w:rsidP="0087610D">
            <w:pPr>
              <w:jc w:val="center"/>
              <w:rPr>
                <w:sz w:val="20"/>
              </w:rPr>
            </w:pPr>
            <w:r w:rsidRPr="00E152A6">
              <w:rPr>
                <w:sz w:val="20"/>
              </w:rPr>
              <w:t>1.</w:t>
            </w:r>
          </w:p>
        </w:tc>
        <w:tc>
          <w:tcPr>
            <w:tcW w:w="1296" w:type="pct"/>
            <w:hideMark/>
          </w:tcPr>
          <w:p w:rsidR="009505A4" w:rsidRPr="00E152A6" w:rsidRDefault="009505A4" w:rsidP="0087610D">
            <w:pPr>
              <w:rPr>
                <w:sz w:val="20"/>
              </w:rPr>
            </w:pPr>
            <w:r w:rsidRPr="00E152A6">
              <w:rPr>
                <w:sz w:val="20"/>
              </w:rPr>
              <w:t>Цена контракта, сумма цен единиц товара, работы, услуги</w:t>
            </w:r>
          </w:p>
        </w:tc>
        <w:tc>
          <w:tcPr>
            <w:tcW w:w="375" w:type="pct"/>
            <w:hideMark/>
          </w:tcPr>
          <w:p w:rsidR="00E152A6" w:rsidRDefault="00E152A6" w:rsidP="0087610D">
            <w:pPr>
              <w:jc w:val="center"/>
              <w:rPr>
                <w:sz w:val="20"/>
              </w:rPr>
            </w:pPr>
          </w:p>
          <w:p w:rsidR="009505A4" w:rsidRPr="00E152A6" w:rsidRDefault="009505A4" w:rsidP="0087610D">
            <w:pPr>
              <w:jc w:val="center"/>
              <w:rPr>
                <w:sz w:val="20"/>
              </w:rPr>
            </w:pPr>
            <w:r w:rsidRPr="00E152A6">
              <w:rPr>
                <w:sz w:val="20"/>
              </w:rPr>
              <w:t>60</w:t>
            </w:r>
          </w:p>
        </w:tc>
        <w:tc>
          <w:tcPr>
            <w:tcW w:w="611" w:type="pct"/>
            <w:hideMark/>
          </w:tcPr>
          <w:p w:rsidR="009505A4" w:rsidRPr="00E152A6" w:rsidRDefault="009505A4" w:rsidP="0087610D">
            <w:pPr>
              <w:jc w:val="center"/>
              <w:rPr>
                <w:sz w:val="20"/>
              </w:rPr>
            </w:pPr>
            <w:r w:rsidRPr="00E152A6">
              <w:rPr>
                <w:sz w:val="20"/>
              </w:rPr>
              <w:t>-</w:t>
            </w:r>
          </w:p>
        </w:tc>
        <w:tc>
          <w:tcPr>
            <w:tcW w:w="517" w:type="pct"/>
            <w:hideMark/>
          </w:tcPr>
          <w:p w:rsidR="009505A4" w:rsidRPr="00E152A6" w:rsidRDefault="009505A4" w:rsidP="0087610D">
            <w:pPr>
              <w:jc w:val="center"/>
              <w:rPr>
                <w:sz w:val="20"/>
              </w:rPr>
            </w:pPr>
            <w:r w:rsidRPr="00E152A6">
              <w:rPr>
                <w:sz w:val="20"/>
              </w:rPr>
              <w:t>-</w:t>
            </w:r>
          </w:p>
        </w:tc>
        <w:tc>
          <w:tcPr>
            <w:tcW w:w="1174" w:type="pct"/>
            <w:tcBorders>
              <w:bottom w:val="single" w:sz="4" w:space="0" w:color="auto"/>
            </w:tcBorders>
            <w:hideMark/>
          </w:tcPr>
          <w:p w:rsidR="009505A4" w:rsidRPr="00E152A6" w:rsidRDefault="009505A4" w:rsidP="0087610D">
            <w:pPr>
              <w:jc w:val="center"/>
              <w:rPr>
                <w:sz w:val="20"/>
              </w:rPr>
            </w:pPr>
            <w:r w:rsidRPr="00E152A6">
              <w:rPr>
                <w:sz w:val="20"/>
              </w:rPr>
              <w:t>-</w:t>
            </w:r>
          </w:p>
        </w:tc>
        <w:tc>
          <w:tcPr>
            <w:tcW w:w="769" w:type="pct"/>
            <w:tcBorders>
              <w:bottom w:val="single" w:sz="4" w:space="0" w:color="auto"/>
            </w:tcBorders>
            <w:hideMark/>
          </w:tcPr>
          <w:p w:rsidR="009505A4" w:rsidRPr="00E152A6" w:rsidRDefault="009505A4" w:rsidP="0087610D">
            <w:pPr>
              <w:jc w:val="center"/>
              <w:rPr>
                <w:sz w:val="20"/>
              </w:rPr>
            </w:pPr>
            <w:r w:rsidRPr="00E152A6">
              <w:rPr>
                <w:sz w:val="20"/>
              </w:rPr>
              <w:t>-</w:t>
            </w:r>
          </w:p>
        </w:tc>
      </w:tr>
      <w:tr w:rsidR="00E152A6" w:rsidRPr="0087610D" w:rsidTr="00E152A6">
        <w:tc>
          <w:tcPr>
            <w:tcW w:w="258" w:type="pct"/>
            <w:vMerge w:val="restart"/>
          </w:tcPr>
          <w:p w:rsidR="00E152A6" w:rsidRPr="00E152A6" w:rsidRDefault="00E152A6" w:rsidP="0087610D">
            <w:pPr>
              <w:jc w:val="center"/>
              <w:rPr>
                <w:sz w:val="20"/>
              </w:rPr>
            </w:pPr>
            <w:r w:rsidRPr="00E152A6">
              <w:rPr>
                <w:sz w:val="20"/>
              </w:rPr>
              <w:t>2.</w:t>
            </w:r>
          </w:p>
        </w:tc>
        <w:tc>
          <w:tcPr>
            <w:tcW w:w="1296" w:type="pct"/>
            <w:vMerge w:val="restart"/>
          </w:tcPr>
          <w:p w:rsidR="00E152A6" w:rsidRPr="00E152A6" w:rsidRDefault="00E152A6" w:rsidP="0087610D">
            <w:pPr>
              <w:rPr>
                <w:sz w:val="20"/>
              </w:rPr>
            </w:pPr>
            <w:r w:rsidRPr="00E152A6">
              <w:rPr>
                <w:sz w:val="20"/>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375" w:type="pct"/>
            <w:vMerge w:val="restart"/>
          </w:tcPr>
          <w:p w:rsidR="00E152A6" w:rsidRDefault="00E152A6" w:rsidP="0087610D">
            <w:pPr>
              <w:jc w:val="center"/>
              <w:rPr>
                <w:sz w:val="20"/>
              </w:rPr>
            </w:pPr>
          </w:p>
          <w:p w:rsidR="00E152A6" w:rsidRPr="00E152A6" w:rsidRDefault="00E152A6" w:rsidP="0087610D">
            <w:pPr>
              <w:jc w:val="center"/>
              <w:rPr>
                <w:sz w:val="20"/>
              </w:rPr>
            </w:pPr>
            <w:r w:rsidRPr="00E152A6">
              <w:rPr>
                <w:sz w:val="20"/>
              </w:rPr>
              <w:t>40</w:t>
            </w:r>
          </w:p>
        </w:tc>
        <w:tc>
          <w:tcPr>
            <w:tcW w:w="611" w:type="pct"/>
          </w:tcPr>
          <w:p w:rsidR="00E152A6" w:rsidRPr="00E152A6" w:rsidRDefault="00E152A6" w:rsidP="00E152A6">
            <w:pPr>
              <w:rPr>
                <w:sz w:val="20"/>
              </w:rPr>
            </w:pPr>
            <w:r>
              <w:rPr>
                <w:sz w:val="20"/>
              </w:rPr>
              <w:t>Н</w:t>
            </w:r>
            <w:r w:rsidRPr="00E152A6">
              <w:rPr>
                <w:sz w:val="20"/>
              </w:rPr>
              <w:t>аличие у участников закупки на праве собственности или ином законном основании оборудования и других материальных ресурсов;</w:t>
            </w:r>
          </w:p>
        </w:tc>
        <w:tc>
          <w:tcPr>
            <w:tcW w:w="517" w:type="pct"/>
          </w:tcPr>
          <w:p w:rsidR="00E152A6" w:rsidRDefault="00E152A6" w:rsidP="0087610D">
            <w:pPr>
              <w:jc w:val="center"/>
              <w:rPr>
                <w:sz w:val="20"/>
              </w:rPr>
            </w:pPr>
          </w:p>
          <w:p w:rsidR="00E152A6" w:rsidRPr="00E152A6" w:rsidRDefault="00E152A6" w:rsidP="0087610D">
            <w:pPr>
              <w:jc w:val="center"/>
              <w:rPr>
                <w:sz w:val="20"/>
              </w:rPr>
            </w:pPr>
            <w:r w:rsidRPr="00E152A6">
              <w:rPr>
                <w:sz w:val="20"/>
              </w:rPr>
              <w:t>50</w:t>
            </w:r>
          </w:p>
        </w:tc>
        <w:tc>
          <w:tcPr>
            <w:tcW w:w="1174" w:type="pct"/>
          </w:tcPr>
          <w:p w:rsidR="00E152A6" w:rsidRPr="00E152A6" w:rsidRDefault="00E152A6" w:rsidP="000D7115">
            <w:pPr>
              <w:jc w:val="center"/>
              <w:rPr>
                <w:sz w:val="20"/>
              </w:rPr>
            </w:pPr>
            <w:proofErr w:type="gramStart"/>
            <w:r w:rsidRPr="00E152A6">
              <w:rPr>
                <w:sz w:val="20"/>
              </w:rPr>
              <w:t xml:space="preserve">признак N 1 </w:t>
            </w:r>
            <w:r w:rsidRPr="008609B3">
              <w:rPr>
                <w:sz w:val="20"/>
              </w:rPr>
              <w:t>(</w:t>
            </w:r>
            <w:r w:rsidR="008609B3" w:rsidRPr="008609B3">
              <w:rPr>
                <w:bCs/>
                <w:sz w:val="20"/>
              </w:rPr>
              <w:t>наличие в пределах административных границ субъекта Российской Федерации (Ростовская область)  стационарных пунктов приема, обслуживания, обучения и выдачи протезно-ортопедических изделий, организованных в соответствии с приказом Министерства труда и социальной защиты РФ от 30  июля 2015 года №527н</w:t>
            </w:r>
            <w:proofErr w:type="gramEnd"/>
          </w:p>
        </w:tc>
        <w:tc>
          <w:tcPr>
            <w:tcW w:w="769" w:type="pct"/>
          </w:tcPr>
          <w:p w:rsidR="00E152A6" w:rsidRDefault="00E152A6" w:rsidP="0087610D">
            <w:pPr>
              <w:jc w:val="center"/>
              <w:rPr>
                <w:sz w:val="20"/>
              </w:rPr>
            </w:pPr>
          </w:p>
          <w:p w:rsidR="00E152A6" w:rsidRPr="00E152A6" w:rsidRDefault="00E152A6" w:rsidP="0087610D">
            <w:pPr>
              <w:jc w:val="center"/>
              <w:rPr>
                <w:sz w:val="20"/>
              </w:rPr>
            </w:pPr>
            <w:r w:rsidRPr="00E152A6">
              <w:rPr>
                <w:sz w:val="20"/>
              </w:rPr>
              <w:t>100</w:t>
            </w:r>
          </w:p>
        </w:tc>
      </w:tr>
      <w:tr w:rsidR="00E152A6" w:rsidRPr="00E152A6" w:rsidTr="00E152A6">
        <w:trPr>
          <w:trHeight w:val="1643"/>
        </w:trPr>
        <w:tc>
          <w:tcPr>
            <w:tcW w:w="258" w:type="pct"/>
            <w:vMerge/>
            <w:hideMark/>
          </w:tcPr>
          <w:p w:rsidR="00E152A6" w:rsidRPr="00E152A6" w:rsidRDefault="00E152A6" w:rsidP="0087610D">
            <w:pPr>
              <w:jc w:val="center"/>
              <w:rPr>
                <w:sz w:val="20"/>
              </w:rPr>
            </w:pPr>
          </w:p>
        </w:tc>
        <w:tc>
          <w:tcPr>
            <w:tcW w:w="1296" w:type="pct"/>
            <w:vMerge/>
            <w:hideMark/>
          </w:tcPr>
          <w:p w:rsidR="00E152A6" w:rsidRPr="00E152A6" w:rsidRDefault="00E152A6" w:rsidP="0087610D">
            <w:pPr>
              <w:rPr>
                <w:sz w:val="20"/>
              </w:rPr>
            </w:pPr>
          </w:p>
        </w:tc>
        <w:tc>
          <w:tcPr>
            <w:tcW w:w="375" w:type="pct"/>
            <w:vMerge/>
            <w:hideMark/>
          </w:tcPr>
          <w:p w:rsidR="00E152A6" w:rsidRPr="00E152A6" w:rsidRDefault="00E152A6" w:rsidP="0087610D">
            <w:pPr>
              <w:jc w:val="center"/>
              <w:rPr>
                <w:sz w:val="20"/>
              </w:rPr>
            </w:pPr>
          </w:p>
        </w:tc>
        <w:tc>
          <w:tcPr>
            <w:tcW w:w="611" w:type="pct"/>
          </w:tcPr>
          <w:p w:rsidR="00E152A6" w:rsidRPr="00E152A6" w:rsidRDefault="00E152A6" w:rsidP="0087610D">
            <w:pPr>
              <w:rPr>
                <w:sz w:val="20"/>
              </w:rPr>
            </w:pPr>
            <w:r w:rsidRPr="00E152A6">
              <w:rPr>
                <w:sz w:val="20"/>
              </w:rPr>
              <w:t>наличие у участников закупки опыта поставки товара, выполнения работы, оказания услуги, связанного с предметом контракта</w:t>
            </w:r>
          </w:p>
        </w:tc>
        <w:tc>
          <w:tcPr>
            <w:tcW w:w="517" w:type="pct"/>
          </w:tcPr>
          <w:p w:rsidR="00E152A6" w:rsidRDefault="00E152A6" w:rsidP="0087610D">
            <w:pPr>
              <w:jc w:val="center"/>
              <w:rPr>
                <w:sz w:val="20"/>
              </w:rPr>
            </w:pPr>
          </w:p>
          <w:p w:rsidR="00E152A6" w:rsidRPr="00E152A6" w:rsidRDefault="00E152A6" w:rsidP="0087610D">
            <w:pPr>
              <w:jc w:val="center"/>
              <w:rPr>
                <w:sz w:val="20"/>
              </w:rPr>
            </w:pPr>
            <w:r w:rsidRPr="00E152A6">
              <w:rPr>
                <w:sz w:val="20"/>
              </w:rPr>
              <w:t>50</w:t>
            </w:r>
          </w:p>
        </w:tc>
        <w:tc>
          <w:tcPr>
            <w:tcW w:w="1174" w:type="pct"/>
          </w:tcPr>
          <w:p w:rsidR="00E152A6" w:rsidRPr="00E152A6" w:rsidRDefault="00E152A6" w:rsidP="0087610D">
            <w:pPr>
              <w:jc w:val="center"/>
              <w:rPr>
                <w:sz w:val="20"/>
              </w:rPr>
            </w:pPr>
            <w:r w:rsidRPr="00E152A6">
              <w:rPr>
                <w:sz w:val="20"/>
              </w:rPr>
              <w:t>признак N 1 (общая цена исполненных участником закупки договоров)</w:t>
            </w:r>
          </w:p>
        </w:tc>
        <w:tc>
          <w:tcPr>
            <w:tcW w:w="769" w:type="pct"/>
          </w:tcPr>
          <w:p w:rsidR="00841E75" w:rsidRDefault="00841E75" w:rsidP="0087610D">
            <w:pPr>
              <w:jc w:val="center"/>
              <w:rPr>
                <w:sz w:val="20"/>
              </w:rPr>
            </w:pPr>
          </w:p>
          <w:p w:rsidR="00E152A6" w:rsidRPr="00E152A6" w:rsidRDefault="00E152A6" w:rsidP="0087610D">
            <w:pPr>
              <w:jc w:val="center"/>
              <w:rPr>
                <w:sz w:val="20"/>
              </w:rPr>
            </w:pPr>
            <w:r>
              <w:rPr>
                <w:sz w:val="20"/>
              </w:rPr>
              <w:t>100</w:t>
            </w:r>
          </w:p>
        </w:tc>
      </w:tr>
    </w:tbl>
    <w:p w:rsidR="008010CF" w:rsidRPr="00E152A6" w:rsidRDefault="008010CF" w:rsidP="0087610D">
      <w:pPr>
        <w:tabs>
          <w:tab w:val="left" w:pos="6735"/>
        </w:tabs>
        <w:ind w:firstLine="567"/>
        <w:jc w:val="center"/>
        <w:rPr>
          <w:b/>
          <w:sz w:val="20"/>
        </w:rPr>
      </w:pPr>
    </w:p>
    <w:p w:rsidR="008010CF" w:rsidRPr="00E152A6" w:rsidRDefault="008010CF">
      <w:pPr>
        <w:spacing w:after="160" w:line="264" w:lineRule="auto"/>
        <w:rPr>
          <w:b/>
          <w:sz w:val="20"/>
        </w:rPr>
      </w:pPr>
      <w:r w:rsidRPr="00E152A6">
        <w:rPr>
          <w:b/>
          <w:sz w:val="20"/>
        </w:rPr>
        <w:br w:type="page"/>
      </w:r>
    </w:p>
    <w:p w:rsidR="009C43F6" w:rsidRPr="0087610D" w:rsidRDefault="00970C8E" w:rsidP="0087610D">
      <w:pPr>
        <w:tabs>
          <w:tab w:val="left" w:pos="6735"/>
        </w:tabs>
        <w:ind w:firstLine="567"/>
        <w:jc w:val="center"/>
        <w:rPr>
          <w:b/>
          <w:szCs w:val="24"/>
        </w:rPr>
      </w:pPr>
      <w:r w:rsidRPr="0087610D">
        <w:rPr>
          <w:b/>
          <w:szCs w:val="24"/>
        </w:rPr>
        <w:lastRenderedPageBreak/>
        <w:t>ПОРЯДОК ОЦЕНКИ ЗАЯВОК НА УЧАСТИЕ В ОТКРЫТОМ КОНКУРСЕ В ЭЛЕКТРОННОЙ ФОРМЕ</w:t>
      </w:r>
    </w:p>
    <w:p w:rsidR="00970C8E" w:rsidRPr="0087610D" w:rsidRDefault="00970C8E" w:rsidP="0087610D">
      <w:pPr>
        <w:keepNext/>
        <w:keepLines/>
        <w:widowControl w:val="0"/>
        <w:ind w:firstLine="567"/>
        <w:rPr>
          <w:b/>
          <w:szCs w:val="24"/>
        </w:rPr>
      </w:pPr>
    </w:p>
    <w:p w:rsidR="00970C8E" w:rsidRPr="0087610D" w:rsidRDefault="00970C8E" w:rsidP="0087610D">
      <w:pPr>
        <w:keepNext/>
        <w:keepLines/>
        <w:widowControl w:val="0"/>
        <w:ind w:firstLine="567"/>
        <w:rPr>
          <w:b/>
          <w:szCs w:val="24"/>
        </w:rPr>
      </w:pPr>
    </w:p>
    <w:p w:rsidR="009638FA" w:rsidRPr="0087610D" w:rsidRDefault="009638FA" w:rsidP="00AF1ED6">
      <w:pPr>
        <w:keepNext/>
        <w:keepLines/>
        <w:widowControl w:val="0"/>
        <w:ind w:firstLine="567"/>
        <w:rPr>
          <w:b/>
          <w:color w:val="000000" w:themeColor="text1"/>
          <w:szCs w:val="24"/>
        </w:rPr>
      </w:pPr>
      <w:r w:rsidRPr="0087610D">
        <w:rPr>
          <w:b/>
          <w:color w:val="000000" w:themeColor="text1"/>
          <w:szCs w:val="24"/>
        </w:rPr>
        <w:t>1. Оценка заявок по критерию «Цена контракта, сумма цен единиц товара, работы, услуги».</w:t>
      </w:r>
    </w:p>
    <w:p w:rsidR="009638FA" w:rsidRPr="0087610D" w:rsidRDefault="009638FA" w:rsidP="00AF1ED6">
      <w:pPr>
        <w:keepNext/>
        <w:keepLines/>
        <w:widowControl w:val="0"/>
        <w:ind w:firstLine="567"/>
        <w:rPr>
          <w:color w:val="000000" w:themeColor="text1"/>
          <w:szCs w:val="24"/>
        </w:rPr>
      </w:pPr>
      <w:r w:rsidRPr="0087610D">
        <w:rPr>
          <w:color w:val="000000" w:themeColor="text1"/>
          <w:szCs w:val="24"/>
        </w:rPr>
        <w:t>Значимость критерия оценки – 60 %</w:t>
      </w:r>
    </w:p>
    <w:p w:rsidR="009638FA" w:rsidRPr="0087610D" w:rsidRDefault="009638FA" w:rsidP="00AF1ED6">
      <w:pPr>
        <w:keepNext/>
        <w:keepLines/>
        <w:widowControl w:val="0"/>
        <w:ind w:firstLine="567"/>
        <w:rPr>
          <w:color w:val="000000" w:themeColor="text1"/>
          <w:szCs w:val="24"/>
        </w:rPr>
      </w:pPr>
      <w:r w:rsidRPr="0087610D">
        <w:rPr>
          <w:color w:val="000000" w:themeColor="text1"/>
          <w:szCs w:val="24"/>
        </w:rPr>
        <w:t>Оценка критерия (баллы): – 100</w:t>
      </w:r>
    </w:p>
    <w:p w:rsidR="009638FA" w:rsidRPr="0087610D" w:rsidRDefault="009638FA" w:rsidP="00AF1ED6">
      <w:pPr>
        <w:keepNext/>
        <w:keepLines/>
        <w:widowControl w:val="0"/>
        <w:ind w:firstLine="567"/>
        <w:rPr>
          <w:color w:val="000000" w:themeColor="text1"/>
          <w:szCs w:val="24"/>
        </w:rPr>
      </w:pPr>
      <w:r w:rsidRPr="0087610D">
        <w:rPr>
          <w:color w:val="000000" w:themeColor="text1"/>
          <w:szCs w:val="24"/>
        </w:rPr>
        <w:t>Количество баллов, присуждаемых по критерию оценки «цена контракта, сумма цен единиц товара, работы, услуги», определяется по формуле:</w:t>
      </w:r>
    </w:p>
    <w:p w:rsidR="007B77DB" w:rsidRPr="0087610D" w:rsidRDefault="007B77DB" w:rsidP="00AF1ED6">
      <w:pPr>
        <w:autoSpaceDE w:val="0"/>
        <w:autoSpaceDN w:val="0"/>
        <w:adjustRightInd w:val="0"/>
        <w:ind w:firstLine="567"/>
        <w:jc w:val="both"/>
        <w:rPr>
          <w:bCs/>
          <w:color w:val="000000" w:themeColor="text1"/>
          <w:szCs w:val="24"/>
        </w:rPr>
      </w:pPr>
    </w:p>
    <w:p w:rsidR="00EA21E5" w:rsidRPr="0087610D" w:rsidRDefault="00EA21E5" w:rsidP="00AF1ED6">
      <w:pPr>
        <w:autoSpaceDE w:val="0"/>
        <w:autoSpaceDN w:val="0"/>
        <w:adjustRightInd w:val="0"/>
        <w:ind w:firstLine="567"/>
        <w:jc w:val="both"/>
        <w:rPr>
          <w:bCs/>
          <w:color w:val="000000" w:themeColor="text1"/>
          <w:szCs w:val="24"/>
        </w:rPr>
      </w:pPr>
      <w:r w:rsidRPr="0087610D">
        <w:rPr>
          <w:bCs/>
          <w:color w:val="000000" w:themeColor="text1"/>
          <w:szCs w:val="24"/>
        </w:rPr>
        <w:t xml:space="preserve">Значение количества баллов по критерию оценки </w:t>
      </w:r>
      <w:r w:rsidR="00F734EB" w:rsidRPr="0087610D">
        <w:rPr>
          <w:bCs/>
          <w:color w:val="000000" w:themeColor="text1"/>
          <w:szCs w:val="24"/>
        </w:rPr>
        <w:t>«</w:t>
      </w:r>
      <w:r w:rsidRPr="0087610D">
        <w:rPr>
          <w:bCs/>
          <w:color w:val="000000" w:themeColor="text1"/>
          <w:szCs w:val="24"/>
        </w:rPr>
        <w:t>цена контракта, сумма цен единиц товара, работы, услуги</w:t>
      </w:r>
      <w:r w:rsidR="00F734EB" w:rsidRPr="0087610D">
        <w:rPr>
          <w:bCs/>
          <w:color w:val="000000" w:themeColor="text1"/>
          <w:szCs w:val="24"/>
        </w:rPr>
        <w:t>»</w:t>
      </w:r>
      <w:r w:rsidRPr="0087610D">
        <w:rPr>
          <w:bCs/>
          <w:color w:val="000000" w:themeColor="text1"/>
          <w:szCs w:val="24"/>
        </w:rPr>
        <w:t>, присваиваемое заявке, которая подлежит в соответствии с Законом о контрактной системе оценке по указанному критерию оценки, (</w:t>
      </w:r>
      <w:proofErr w:type="spellStart"/>
      <w:r w:rsidRPr="0087610D">
        <w:rPr>
          <w:bCs/>
          <w:color w:val="000000" w:themeColor="text1"/>
          <w:szCs w:val="24"/>
        </w:rPr>
        <w:t>БЦ</w:t>
      </w:r>
      <w:proofErr w:type="gramStart"/>
      <w:r w:rsidRPr="0087610D">
        <w:rPr>
          <w:bCs/>
          <w:color w:val="000000" w:themeColor="text1"/>
          <w:szCs w:val="24"/>
          <w:vertAlign w:val="subscript"/>
        </w:rPr>
        <w:t>i</w:t>
      </w:r>
      <w:proofErr w:type="spellEnd"/>
      <w:proofErr w:type="gramEnd"/>
      <w:r w:rsidRPr="0087610D">
        <w:rPr>
          <w:bCs/>
          <w:color w:val="000000" w:themeColor="text1"/>
          <w:szCs w:val="24"/>
        </w:rPr>
        <w:t>) определяется по формуле:</w:t>
      </w:r>
    </w:p>
    <w:p w:rsidR="00EA21E5" w:rsidRPr="0087610D" w:rsidRDefault="00EA21E5" w:rsidP="00AF1ED6">
      <w:pPr>
        <w:autoSpaceDE w:val="0"/>
        <w:autoSpaceDN w:val="0"/>
        <w:adjustRightInd w:val="0"/>
        <w:ind w:firstLine="567"/>
        <w:jc w:val="both"/>
        <w:outlineLvl w:val="0"/>
        <w:rPr>
          <w:bCs/>
          <w:color w:val="000000" w:themeColor="text1"/>
          <w:szCs w:val="24"/>
        </w:rPr>
      </w:pPr>
    </w:p>
    <w:p w:rsidR="00EF5F30" w:rsidRPr="00EF5F30" w:rsidRDefault="00EF5F30" w:rsidP="00AF1ED6">
      <w:pPr>
        <w:autoSpaceDE w:val="0"/>
        <w:autoSpaceDN w:val="0"/>
        <w:adjustRightInd w:val="0"/>
        <w:ind w:firstLine="567"/>
        <w:jc w:val="center"/>
        <w:rPr>
          <w:bCs/>
          <w:color w:val="000000" w:themeColor="text1"/>
          <w:szCs w:val="24"/>
        </w:rPr>
      </w:pPr>
      <w:r>
        <w:rPr>
          <w:bCs/>
          <w:color w:val="000000" w:themeColor="text1"/>
          <w:szCs w:val="24"/>
        </w:rPr>
        <w:t>БЦ</w:t>
      </w:r>
      <w:proofErr w:type="spellStart"/>
      <w:proofErr w:type="gramStart"/>
      <w:r w:rsidRPr="00EF5F30">
        <w:rPr>
          <w:bCs/>
          <w:color w:val="000000" w:themeColor="text1"/>
          <w:sz w:val="18"/>
          <w:szCs w:val="24"/>
          <w:lang w:val="en-US"/>
        </w:rPr>
        <w:t>i</w:t>
      </w:r>
      <w:proofErr w:type="spellEnd"/>
      <w:proofErr w:type="gramEnd"/>
      <w:r w:rsidRPr="00EF5F30">
        <w:rPr>
          <w:bCs/>
          <w:color w:val="000000" w:themeColor="text1"/>
          <w:szCs w:val="24"/>
        </w:rPr>
        <w:t xml:space="preserve">= 100 </w:t>
      </w:r>
      <w:r>
        <w:rPr>
          <w:bCs/>
          <w:color w:val="000000" w:themeColor="text1"/>
          <w:szCs w:val="24"/>
        </w:rPr>
        <w:t>–</w:t>
      </w:r>
      <w:r w:rsidRPr="00EF5F30">
        <w:rPr>
          <w:bCs/>
          <w:color w:val="000000" w:themeColor="text1"/>
          <w:szCs w:val="24"/>
        </w:rPr>
        <w:t xml:space="preserve"> ((</w:t>
      </w:r>
      <w:r>
        <w:rPr>
          <w:bCs/>
          <w:color w:val="000000" w:themeColor="text1"/>
          <w:szCs w:val="24"/>
        </w:rPr>
        <w:t>Ц</w:t>
      </w:r>
      <w:proofErr w:type="spellStart"/>
      <w:r w:rsidRPr="00EF5F30">
        <w:rPr>
          <w:bCs/>
          <w:color w:val="000000" w:themeColor="text1"/>
          <w:sz w:val="18"/>
          <w:szCs w:val="24"/>
          <w:lang w:val="en-US"/>
        </w:rPr>
        <w:t>i</w:t>
      </w:r>
      <w:proofErr w:type="spellEnd"/>
      <w:r w:rsidRPr="00EF5F30">
        <w:rPr>
          <w:bCs/>
          <w:color w:val="000000" w:themeColor="text1"/>
          <w:szCs w:val="24"/>
        </w:rPr>
        <w:t xml:space="preserve"> </w:t>
      </w:r>
      <w:r>
        <w:rPr>
          <w:bCs/>
          <w:color w:val="000000" w:themeColor="text1"/>
          <w:szCs w:val="24"/>
        </w:rPr>
        <w:t>–</w:t>
      </w:r>
      <w:r w:rsidRPr="00EF5F30">
        <w:rPr>
          <w:bCs/>
          <w:color w:val="000000" w:themeColor="text1"/>
          <w:szCs w:val="24"/>
        </w:rPr>
        <w:t xml:space="preserve"> </w:t>
      </w:r>
      <w:proofErr w:type="spellStart"/>
      <w:r>
        <w:rPr>
          <w:bCs/>
          <w:color w:val="000000" w:themeColor="text1"/>
          <w:szCs w:val="24"/>
        </w:rPr>
        <w:t>Ц</w:t>
      </w:r>
      <w:r w:rsidRPr="00EF5F30">
        <w:rPr>
          <w:bCs/>
          <w:color w:val="000000" w:themeColor="text1"/>
          <w:sz w:val="18"/>
          <w:szCs w:val="24"/>
        </w:rPr>
        <w:t>л</w:t>
      </w:r>
      <w:proofErr w:type="spellEnd"/>
      <w:r w:rsidRPr="00EF5F30">
        <w:rPr>
          <w:bCs/>
          <w:color w:val="000000" w:themeColor="text1"/>
          <w:szCs w:val="24"/>
        </w:rPr>
        <w:t xml:space="preserve">)/ </w:t>
      </w:r>
      <w:proofErr w:type="spellStart"/>
      <w:r>
        <w:rPr>
          <w:bCs/>
          <w:color w:val="000000" w:themeColor="text1"/>
          <w:szCs w:val="24"/>
        </w:rPr>
        <w:t>Ц</w:t>
      </w:r>
      <w:r w:rsidRPr="00EF5F30">
        <w:rPr>
          <w:bCs/>
          <w:color w:val="000000" w:themeColor="text1"/>
          <w:sz w:val="18"/>
          <w:szCs w:val="24"/>
        </w:rPr>
        <w:t>л</w:t>
      </w:r>
      <w:proofErr w:type="spellEnd"/>
      <w:r w:rsidRPr="00EF5F30">
        <w:rPr>
          <w:bCs/>
          <w:color w:val="000000" w:themeColor="text1"/>
          <w:szCs w:val="24"/>
        </w:rPr>
        <w:t xml:space="preserve">) </w:t>
      </w:r>
      <w:r>
        <w:rPr>
          <w:bCs/>
          <w:color w:val="000000" w:themeColor="text1"/>
          <w:szCs w:val="24"/>
          <w:lang w:val="en-US"/>
        </w:rPr>
        <w:t>x</w:t>
      </w:r>
      <w:r w:rsidRPr="00EF5F30">
        <w:rPr>
          <w:bCs/>
          <w:color w:val="000000" w:themeColor="text1"/>
          <w:szCs w:val="24"/>
        </w:rPr>
        <w:t xml:space="preserve"> 100,</w:t>
      </w:r>
    </w:p>
    <w:p w:rsidR="00EA21E5" w:rsidRPr="0087610D" w:rsidRDefault="00EA21E5" w:rsidP="00AF1ED6">
      <w:pPr>
        <w:autoSpaceDE w:val="0"/>
        <w:autoSpaceDN w:val="0"/>
        <w:adjustRightInd w:val="0"/>
        <w:ind w:firstLine="567"/>
        <w:jc w:val="both"/>
        <w:rPr>
          <w:bCs/>
          <w:color w:val="000000" w:themeColor="text1"/>
          <w:szCs w:val="24"/>
        </w:rPr>
      </w:pPr>
      <w:r w:rsidRPr="0087610D">
        <w:rPr>
          <w:bCs/>
          <w:color w:val="000000" w:themeColor="text1"/>
          <w:szCs w:val="24"/>
        </w:rPr>
        <w:t>где:</w:t>
      </w:r>
    </w:p>
    <w:p w:rsidR="00EA21E5" w:rsidRPr="0087610D" w:rsidRDefault="00EA21E5" w:rsidP="00AF1ED6">
      <w:pPr>
        <w:autoSpaceDE w:val="0"/>
        <w:autoSpaceDN w:val="0"/>
        <w:adjustRightInd w:val="0"/>
        <w:ind w:firstLine="567"/>
        <w:jc w:val="both"/>
        <w:rPr>
          <w:bCs/>
          <w:color w:val="000000" w:themeColor="text1"/>
          <w:szCs w:val="24"/>
        </w:rPr>
      </w:pPr>
      <w:proofErr w:type="spellStart"/>
      <w:proofErr w:type="gramStart"/>
      <w:r w:rsidRPr="0087610D">
        <w:rPr>
          <w:bCs/>
          <w:color w:val="000000" w:themeColor="text1"/>
          <w:szCs w:val="24"/>
        </w:rPr>
        <w:t>Ц</w:t>
      </w:r>
      <w:r w:rsidRPr="0087610D">
        <w:rPr>
          <w:bCs/>
          <w:color w:val="000000" w:themeColor="text1"/>
          <w:szCs w:val="24"/>
          <w:vertAlign w:val="subscript"/>
        </w:rPr>
        <w:t>i</w:t>
      </w:r>
      <w:proofErr w:type="spellEnd"/>
      <w:r w:rsidRPr="0087610D">
        <w:rPr>
          <w:bCs/>
          <w:color w:val="000000" w:themeColor="text1"/>
          <w:szCs w:val="24"/>
        </w:rPr>
        <w:t xml:space="preserve"> - 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 </w:t>
      </w:r>
      <w:hyperlink r:id="rId9" w:history="1">
        <w:r w:rsidRPr="0087610D">
          <w:rPr>
            <w:bCs/>
            <w:color w:val="000000" w:themeColor="text1"/>
            <w:szCs w:val="24"/>
          </w:rPr>
          <w:t>частью 24 статьи 22</w:t>
        </w:r>
      </w:hyperlink>
      <w:r w:rsidRPr="0087610D">
        <w:rPr>
          <w:bCs/>
          <w:color w:val="000000" w:themeColor="text1"/>
          <w:szCs w:val="24"/>
        </w:rPr>
        <w:t xml:space="preserve"> Закона о контрактной системе, в том числе при проведении в этом случае совместного конкурса), заявка (часть заявки) которого подлежит в соответствии</w:t>
      </w:r>
      <w:proofErr w:type="gramEnd"/>
      <w:r w:rsidRPr="0087610D">
        <w:rPr>
          <w:bCs/>
          <w:color w:val="000000" w:themeColor="text1"/>
          <w:szCs w:val="24"/>
        </w:rPr>
        <w:t xml:space="preserve"> с Законом о контрактной системе оценке по критерию оценки </w:t>
      </w:r>
      <w:r w:rsidR="006710EB" w:rsidRPr="0087610D">
        <w:rPr>
          <w:bCs/>
          <w:color w:val="000000" w:themeColor="text1"/>
          <w:szCs w:val="24"/>
        </w:rPr>
        <w:t>«</w:t>
      </w:r>
      <w:r w:rsidRPr="0087610D">
        <w:rPr>
          <w:bCs/>
          <w:color w:val="000000" w:themeColor="text1"/>
          <w:szCs w:val="24"/>
        </w:rPr>
        <w:t>цена контракта, сумма цен единиц товара, работы, услуги</w:t>
      </w:r>
      <w:r w:rsidR="006710EB" w:rsidRPr="0087610D">
        <w:rPr>
          <w:bCs/>
          <w:color w:val="000000" w:themeColor="text1"/>
          <w:szCs w:val="24"/>
        </w:rPr>
        <w:t>»</w:t>
      </w:r>
      <w:r w:rsidRPr="0087610D">
        <w:rPr>
          <w:bCs/>
          <w:color w:val="000000" w:themeColor="text1"/>
          <w:szCs w:val="24"/>
        </w:rPr>
        <w:t xml:space="preserve"> (далее - ценовое предложение);</w:t>
      </w:r>
    </w:p>
    <w:p w:rsidR="00EA21E5" w:rsidRPr="0087610D" w:rsidRDefault="00EA21E5" w:rsidP="00AF1ED6">
      <w:pPr>
        <w:autoSpaceDE w:val="0"/>
        <w:autoSpaceDN w:val="0"/>
        <w:adjustRightInd w:val="0"/>
        <w:ind w:firstLine="567"/>
        <w:jc w:val="both"/>
        <w:rPr>
          <w:bCs/>
          <w:color w:val="000000" w:themeColor="text1"/>
          <w:szCs w:val="24"/>
        </w:rPr>
      </w:pPr>
      <w:proofErr w:type="spellStart"/>
      <w:r w:rsidRPr="0087610D">
        <w:rPr>
          <w:bCs/>
          <w:color w:val="000000" w:themeColor="text1"/>
          <w:szCs w:val="24"/>
        </w:rPr>
        <w:t>Ц</w:t>
      </w:r>
      <w:r w:rsidRPr="0087610D">
        <w:rPr>
          <w:bCs/>
          <w:color w:val="000000" w:themeColor="text1"/>
          <w:szCs w:val="24"/>
          <w:vertAlign w:val="subscript"/>
        </w:rPr>
        <w:t>л</w:t>
      </w:r>
      <w:proofErr w:type="spellEnd"/>
      <w:r w:rsidRPr="0087610D">
        <w:rPr>
          <w:bCs/>
          <w:color w:val="000000" w:themeColor="text1"/>
          <w:szCs w:val="24"/>
        </w:rPr>
        <w:t xml:space="preserve"> - наилучшее ценовое предложение из числа предложенных в соответствии с </w:t>
      </w:r>
      <w:r w:rsidR="007B77DB" w:rsidRPr="0087610D">
        <w:rPr>
          <w:bCs/>
          <w:color w:val="000000" w:themeColor="text1"/>
          <w:szCs w:val="24"/>
        </w:rPr>
        <w:t>Законом о контрактной системе</w:t>
      </w:r>
      <w:r w:rsidRPr="0087610D">
        <w:rPr>
          <w:bCs/>
          <w:color w:val="000000" w:themeColor="text1"/>
          <w:szCs w:val="24"/>
        </w:rPr>
        <w:t xml:space="preserve"> участниками закупки, заявки (части заявки) которых подлежат оценке по критерию оценки </w:t>
      </w:r>
      <w:r w:rsidR="007B77DB" w:rsidRPr="0087610D">
        <w:rPr>
          <w:bCs/>
          <w:color w:val="000000" w:themeColor="text1"/>
          <w:szCs w:val="24"/>
        </w:rPr>
        <w:t>«</w:t>
      </w:r>
      <w:r w:rsidRPr="0087610D">
        <w:rPr>
          <w:bCs/>
          <w:color w:val="000000" w:themeColor="text1"/>
          <w:szCs w:val="24"/>
        </w:rPr>
        <w:t>цена контракта, сумма цен единиц товара, работы, услуги</w:t>
      </w:r>
      <w:r w:rsidR="007B77DB" w:rsidRPr="0087610D">
        <w:rPr>
          <w:bCs/>
          <w:color w:val="000000" w:themeColor="text1"/>
          <w:szCs w:val="24"/>
        </w:rPr>
        <w:t>»</w:t>
      </w:r>
      <w:r w:rsidRPr="0087610D">
        <w:rPr>
          <w:bCs/>
          <w:color w:val="000000" w:themeColor="text1"/>
          <w:szCs w:val="24"/>
        </w:rPr>
        <w:t>.</w:t>
      </w:r>
    </w:p>
    <w:p w:rsidR="007B77DB" w:rsidRPr="0087610D" w:rsidRDefault="007B77DB" w:rsidP="00AF1ED6">
      <w:pPr>
        <w:autoSpaceDE w:val="0"/>
        <w:autoSpaceDN w:val="0"/>
        <w:adjustRightInd w:val="0"/>
        <w:ind w:firstLine="567"/>
        <w:jc w:val="both"/>
        <w:rPr>
          <w:bCs/>
          <w:color w:val="000000" w:themeColor="text1"/>
          <w:szCs w:val="24"/>
        </w:rPr>
      </w:pPr>
    </w:p>
    <w:p w:rsidR="00EA21E5" w:rsidRPr="0087610D" w:rsidRDefault="00EA21E5" w:rsidP="00AF1ED6">
      <w:pPr>
        <w:autoSpaceDE w:val="0"/>
        <w:autoSpaceDN w:val="0"/>
        <w:adjustRightInd w:val="0"/>
        <w:ind w:firstLine="567"/>
        <w:jc w:val="both"/>
        <w:rPr>
          <w:bCs/>
          <w:color w:val="000000" w:themeColor="text1"/>
          <w:szCs w:val="24"/>
        </w:rPr>
      </w:pPr>
      <w:proofErr w:type="gramStart"/>
      <w:r w:rsidRPr="0087610D">
        <w:rPr>
          <w:bCs/>
          <w:color w:val="000000" w:themeColor="text1"/>
          <w:szCs w:val="24"/>
        </w:rPr>
        <w:t xml:space="preserve">Если при проведении процедуры подачи предложений о цене контракта либо о сумме цен единиц товара, работы, услуги (в случае, предусмотренном </w:t>
      </w:r>
      <w:hyperlink r:id="rId10" w:history="1">
        <w:r w:rsidRPr="0087610D">
          <w:rPr>
            <w:bCs/>
            <w:color w:val="000000" w:themeColor="text1"/>
            <w:szCs w:val="24"/>
          </w:rPr>
          <w:t>частью 24 статьи 22</w:t>
        </w:r>
      </w:hyperlink>
      <w:r w:rsidRPr="0087610D">
        <w:rPr>
          <w:bCs/>
          <w:color w:val="000000" w:themeColor="text1"/>
          <w:szCs w:val="24"/>
        </w:rPr>
        <w:t xml:space="preserve"> </w:t>
      </w:r>
      <w:r w:rsidR="007B77DB" w:rsidRPr="0087610D">
        <w:rPr>
          <w:bCs/>
          <w:color w:val="000000" w:themeColor="text1"/>
          <w:szCs w:val="24"/>
        </w:rPr>
        <w:t>Закона о контрактной системе</w:t>
      </w:r>
      <w:r w:rsidRPr="0087610D">
        <w:rPr>
          <w:bCs/>
          <w:color w:val="000000" w:themeColor="text1"/>
          <w:szCs w:val="24"/>
        </w:rPr>
        <w:t xml:space="preserve">) в соответствии с </w:t>
      </w:r>
      <w:r w:rsidR="007B77DB" w:rsidRPr="0087610D">
        <w:rPr>
          <w:bCs/>
          <w:color w:val="000000" w:themeColor="text1"/>
          <w:szCs w:val="24"/>
        </w:rPr>
        <w:t>Законом о контрактной системе</w:t>
      </w:r>
      <w:r w:rsidRPr="0087610D">
        <w:rPr>
          <w:bCs/>
          <w:color w:val="000000" w:themeColor="text1"/>
          <w:szCs w:val="24"/>
        </w:rPr>
        <w:t xml:space="preserve"> подано ценовое предложение, предусматривающее снижение таких цены контракта либо суммы цен ниже нуля, значение количества баллов по критерию оценки </w:t>
      </w:r>
      <w:r w:rsidR="007B77DB" w:rsidRPr="0087610D">
        <w:rPr>
          <w:bCs/>
          <w:color w:val="000000" w:themeColor="text1"/>
          <w:szCs w:val="24"/>
        </w:rPr>
        <w:t>«</w:t>
      </w:r>
      <w:r w:rsidRPr="0087610D">
        <w:rPr>
          <w:bCs/>
          <w:color w:val="000000" w:themeColor="text1"/>
          <w:szCs w:val="24"/>
        </w:rPr>
        <w:t>цена контракта, сумма цен единиц товара</w:t>
      </w:r>
      <w:proofErr w:type="gramEnd"/>
      <w:r w:rsidRPr="0087610D">
        <w:rPr>
          <w:bCs/>
          <w:color w:val="000000" w:themeColor="text1"/>
          <w:szCs w:val="24"/>
        </w:rPr>
        <w:t>, работы, услуги</w:t>
      </w:r>
      <w:r w:rsidR="007B77DB" w:rsidRPr="0087610D">
        <w:rPr>
          <w:bCs/>
          <w:color w:val="000000" w:themeColor="text1"/>
          <w:szCs w:val="24"/>
        </w:rPr>
        <w:t>»</w:t>
      </w:r>
      <w:r w:rsidRPr="0087610D">
        <w:rPr>
          <w:bCs/>
          <w:color w:val="000000" w:themeColor="text1"/>
          <w:szCs w:val="24"/>
        </w:rPr>
        <w:t xml:space="preserve"> (</w:t>
      </w:r>
      <w:proofErr w:type="spellStart"/>
      <w:r w:rsidRPr="0087610D">
        <w:rPr>
          <w:bCs/>
          <w:color w:val="000000" w:themeColor="text1"/>
          <w:szCs w:val="24"/>
        </w:rPr>
        <w:t>БЦ</w:t>
      </w:r>
      <w:proofErr w:type="gramStart"/>
      <w:r w:rsidRPr="0087610D">
        <w:rPr>
          <w:bCs/>
          <w:color w:val="000000" w:themeColor="text1"/>
          <w:szCs w:val="24"/>
          <w:vertAlign w:val="subscript"/>
        </w:rPr>
        <w:t>i</w:t>
      </w:r>
      <w:proofErr w:type="spellEnd"/>
      <w:proofErr w:type="gramEnd"/>
      <w:r w:rsidRPr="0087610D">
        <w:rPr>
          <w:bCs/>
          <w:color w:val="000000" w:themeColor="text1"/>
          <w:szCs w:val="24"/>
        </w:rPr>
        <w:t>) определяется в следующем порядке:</w:t>
      </w:r>
    </w:p>
    <w:p w:rsidR="00EA21E5" w:rsidRPr="0087610D" w:rsidRDefault="00EA21E5" w:rsidP="00AF1ED6">
      <w:pPr>
        <w:autoSpaceDE w:val="0"/>
        <w:autoSpaceDN w:val="0"/>
        <w:adjustRightInd w:val="0"/>
        <w:ind w:firstLine="567"/>
        <w:jc w:val="both"/>
        <w:rPr>
          <w:bCs/>
          <w:color w:val="000000" w:themeColor="text1"/>
          <w:szCs w:val="24"/>
        </w:rPr>
      </w:pPr>
      <w:bookmarkStart w:id="0" w:name="Par8"/>
      <w:bookmarkEnd w:id="0"/>
      <w:r w:rsidRPr="0087610D">
        <w:rPr>
          <w:bCs/>
          <w:color w:val="000000" w:themeColor="text1"/>
          <w:szCs w:val="24"/>
        </w:rPr>
        <w:t xml:space="preserve">а) для подлежащей в соответствии с Федеральным </w:t>
      </w:r>
      <w:hyperlink r:id="rId11" w:history="1">
        <w:r w:rsidRPr="0087610D">
          <w:rPr>
            <w:bCs/>
            <w:color w:val="000000" w:themeColor="text1"/>
            <w:szCs w:val="24"/>
          </w:rPr>
          <w:t>законом</w:t>
        </w:r>
      </w:hyperlink>
      <w:r w:rsidRPr="0087610D">
        <w:rPr>
          <w:bCs/>
          <w:color w:val="000000" w:themeColor="text1"/>
          <w:szCs w:val="24"/>
        </w:rPr>
        <w:t xml:space="preserve"> оценке заявки участника закупки, ценовое предложение которого не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w:t>
      </w:r>
      <w:proofErr w:type="spellStart"/>
      <w:r w:rsidRPr="0087610D">
        <w:rPr>
          <w:bCs/>
          <w:color w:val="000000" w:themeColor="text1"/>
          <w:szCs w:val="24"/>
        </w:rPr>
        <w:t>БЦ</w:t>
      </w:r>
      <w:proofErr w:type="gramStart"/>
      <w:r w:rsidRPr="0087610D">
        <w:rPr>
          <w:bCs/>
          <w:color w:val="000000" w:themeColor="text1"/>
          <w:szCs w:val="24"/>
          <w:vertAlign w:val="subscript"/>
        </w:rPr>
        <w:t>i</w:t>
      </w:r>
      <w:proofErr w:type="spellEnd"/>
      <w:proofErr w:type="gramEnd"/>
      <w:r w:rsidRPr="0087610D">
        <w:rPr>
          <w:bCs/>
          <w:color w:val="000000" w:themeColor="text1"/>
          <w:szCs w:val="24"/>
        </w:rPr>
        <w:t>) определяется по формуле:</w:t>
      </w:r>
    </w:p>
    <w:p w:rsidR="00EA21E5" w:rsidRPr="0087610D" w:rsidRDefault="00EA21E5" w:rsidP="00AF1ED6">
      <w:pPr>
        <w:autoSpaceDE w:val="0"/>
        <w:autoSpaceDN w:val="0"/>
        <w:adjustRightInd w:val="0"/>
        <w:ind w:firstLine="567"/>
        <w:jc w:val="both"/>
        <w:rPr>
          <w:bCs/>
          <w:color w:val="000000" w:themeColor="text1"/>
          <w:szCs w:val="24"/>
        </w:rPr>
      </w:pPr>
    </w:p>
    <w:p w:rsidR="00895F54" w:rsidRPr="00EF5F30" w:rsidRDefault="00895F54" w:rsidP="00895F54">
      <w:pPr>
        <w:autoSpaceDE w:val="0"/>
        <w:autoSpaceDN w:val="0"/>
        <w:adjustRightInd w:val="0"/>
        <w:ind w:firstLine="567"/>
        <w:jc w:val="center"/>
        <w:rPr>
          <w:bCs/>
          <w:color w:val="000000" w:themeColor="text1"/>
          <w:szCs w:val="24"/>
        </w:rPr>
      </w:pPr>
      <w:r>
        <w:rPr>
          <w:bCs/>
          <w:color w:val="000000" w:themeColor="text1"/>
          <w:szCs w:val="24"/>
        </w:rPr>
        <w:t>БЦ</w:t>
      </w:r>
      <w:proofErr w:type="spellStart"/>
      <w:proofErr w:type="gramStart"/>
      <w:r w:rsidRPr="00EF5F30">
        <w:rPr>
          <w:bCs/>
          <w:color w:val="000000" w:themeColor="text1"/>
          <w:sz w:val="18"/>
          <w:szCs w:val="24"/>
          <w:lang w:val="en-US"/>
        </w:rPr>
        <w:t>i</w:t>
      </w:r>
      <w:proofErr w:type="spellEnd"/>
      <w:proofErr w:type="gramEnd"/>
      <w:r w:rsidRPr="00EF5F30">
        <w:rPr>
          <w:bCs/>
          <w:color w:val="000000" w:themeColor="text1"/>
          <w:szCs w:val="24"/>
        </w:rPr>
        <w:t xml:space="preserve">= 100 </w:t>
      </w:r>
      <w:r>
        <w:rPr>
          <w:bCs/>
          <w:color w:val="000000" w:themeColor="text1"/>
          <w:szCs w:val="24"/>
        </w:rPr>
        <w:t>–</w:t>
      </w:r>
      <w:r w:rsidRPr="00EF5F30">
        <w:rPr>
          <w:bCs/>
          <w:color w:val="000000" w:themeColor="text1"/>
          <w:szCs w:val="24"/>
        </w:rPr>
        <w:t xml:space="preserve"> ((</w:t>
      </w:r>
      <w:proofErr w:type="spellStart"/>
      <w:r>
        <w:rPr>
          <w:bCs/>
          <w:color w:val="000000" w:themeColor="text1"/>
          <w:szCs w:val="24"/>
        </w:rPr>
        <w:t>Ц</w:t>
      </w:r>
      <w:r w:rsidRPr="00895F54">
        <w:rPr>
          <w:bCs/>
          <w:color w:val="000000" w:themeColor="text1"/>
          <w:sz w:val="18"/>
          <w:szCs w:val="24"/>
        </w:rPr>
        <w:t>нач</w:t>
      </w:r>
      <w:proofErr w:type="spellEnd"/>
      <w:r w:rsidRPr="00EF5F30">
        <w:rPr>
          <w:bCs/>
          <w:color w:val="000000" w:themeColor="text1"/>
          <w:szCs w:val="24"/>
        </w:rPr>
        <w:t xml:space="preserve"> </w:t>
      </w:r>
      <w:r>
        <w:rPr>
          <w:bCs/>
          <w:color w:val="000000" w:themeColor="text1"/>
          <w:szCs w:val="24"/>
        </w:rPr>
        <w:t>+</w:t>
      </w:r>
      <w:r w:rsidRPr="00EF5F30">
        <w:rPr>
          <w:bCs/>
          <w:color w:val="000000" w:themeColor="text1"/>
          <w:szCs w:val="24"/>
        </w:rPr>
        <w:t xml:space="preserve"> </w:t>
      </w:r>
      <w:proofErr w:type="spellStart"/>
      <w:r>
        <w:rPr>
          <w:bCs/>
          <w:color w:val="000000" w:themeColor="text1"/>
          <w:szCs w:val="24"/>
        </w:rPr>
        <w:t>Ц</w:t>
      </w:r>
      <w:r w:rsidRPr="00EF5F30">
        <w:rPr>
          <w:bCs/>
          <w:color w:val="000000" w:themeColor="text1"/>
          <w:sz w:val="18"/>
          <w:szCs w:val="24"/>
        </w:rPr>
        <w:t>л</w:t>
      </w:r>
      <w:proofErr w:type="spellEnd"/>
      <w:r>
        <w:rPr>
          <w:bCs/>
          <w:color w:val="000000" w:themeColor="text1"/>
          <w:sz w:val="18"/>
          <w:szCs w:val="24"/>
        </w:rPr>
        <w:t xml:space="preserve"> </w:t>
      </w:r>
      <w:r w:rsidRPr="00895F54">
        <w:rPr>
          <w:bCs/>
          <w:color w:val="000000" w:themeColor="text1"/>
          <w:szCs w:val="24"/>
        </w:rPr>
        <w:t>-</w:t>
      </w:r>
      <w:r>
        <w:rPr>
          <w:bCs/>
          <w:color w:val="000000" w:themeColor="text1"/>
          <w:szCs w:val="24"/>
        </w:rPr>
        <w:t xml:space="preserve"> Ц</w:t>
      </w:r>
      <w:proofErr w:type="spellStart"/>
      <w:r w:rsidRPr="00EF5F30">
        <w:rPr>
          <w:bCs/>
          <w:color w:val="000000" w:themeColor="text1"/>
          <w:sz w:val="18"/>
          <w:szCs w:val="24"/>
          <w:lang w:val="en-US"/>
        </w:rPr>
        <w:t>i</w:t>
      </w:r>
      <w:proofErr w:type="spellEnd"/>
      <w:r w:rsidRPr="00EF5F30">
        <w:rPr>
          <w:bCs/>
          <w:color w:val="000000" w:themeColor="text1"/>
          <w:szCs w:val="24"/>
        </w:rPr>
        <w:t>)</w:t>
      </w:r>
      <w:r>
        <w:rPr>
          <w:bCs/>
          <w:color w:val="000000" w:themeColor="text1"/>
          <w:szCs w:val="24"/>
        </w:rPr>
        <w:t xml:space="preserve"> </w:t>
      </w:r>
      <w:r w:rsidRPr="00EF5F30">
        <w:rPr>
          <w:bCs/>
          <w:color w:val="000000" w:themeColor="text1"/>
          <w:szCs w:val="24"/>
        </w:rPr>
        <w:t xml:space="preserve">/ </w:t>
      </w:r>
      <w:r>
        <w:rPr>
          <w:bCs/>
          <w:color w:val="000000" w:themeColor="text1"/>
          <w:szCs w:val="24"/>
        </w:rPr>
        <w:t>(</w:t>
      </w:r>
      <w:proofErr w:type="spellStart"/>
      <w:r>
        <w:rPr>
          <w:bCs/>
          <w:color w:val="000000" w:themeColor="text1"/>
          <w:szCs w:val="24"/>
        </w:rPr>
        <w:t>Ц</w:t>
      </w:r>
      <w:r w:rsidRPr="00895F54">
        <w:rPr>
          <w:bCs/>
          <w:color w:val="000000" w:themeColor="text1"/>
          <w:sz w:val="18"/>
          <w:szCs w:val="24"/>
        </w:rPr>
        <w:t>нач</w:t>
      </w:r>
      <w:proofErr w:type="spellEnd"/>
      <w:r>
        <w:rPr>
          <w:bCs/>
          <w:color w:val="000000" w:themeColor="text1"/>
          <w:szCs w:val="24"/>
        </w:rPr>
        <w:t xml:space="preserve"> + </w:t>
      </w:r>
      <w:proofErr w:type="spellStart"/>
      <w:r>
        <w:rPr>
          <w:bCs/>
          <w:color w:val="000000" w:themeColor="text1"/>
          <w:szCs w:val="24"/>
        </w:rPr>
        <w:t>Ц</w:t>
      </w:r>
      <w:r w:rsidRPr="00EF5F30">
        <w:rPr>
          <w:bCs/>
          <w:color w:val="000000" w:themeColor="text1"/>
          <w:sz w:val="18"/>
          <w:szCs w:val="24"/>
        </w:rPr>
        <w:t>л</w:t>
      </w:r>
      <w:proofErr w:type="spellEnd"/>
      <w:r w:rsidRPr="00EF5F30">
        <w:rPr>
          <w:bCs/>
          <w:color w:val="000000" w:themeColor="text1"/>
          <w:szCs w:val="24"/>
        </w:rPr>
        <w:t>)</w:t>
      </w:r>
      <w:r>
        <w:rPr>
          <w:bCs/>
          <w:color w:val="000000" w:themeColor="text1"/>
          <w:szCs w:val="24"/>
        </w:rPr>
        <w:t>)</w:t>
      </w:r>
      <w:r w:rsidRPr="00EF5F30">
        <w:rPr>
          <w:bCs/>
          <w:color w:val="000000" w:themeColor="text1"/>
          <w:szCs w:val="24"/>
        </w:rPr>
        <w:t xml:space="preserve"> </w:t>
      </w:r>
      <w:r>
        <w:rPr>
          <w:bCs/>
          <w:color w:val="000000" w:themeColor="text1"/>
          <w:szCs w:val="24"/>
          <w:lang w:val="en-US"/>
        </w:rPr>
        <w:t>x</w:t>
      </w:r>
      <w:r w:rsidRPr="00EF5F30">
        <w:rPr>
          <w:bCs/>
          <w:color w:val="000000" w:themeColor="text1"/>
          <w:szCs w:val="24"/>
        </w:rPr>
        <w:t xml:space="preserve"> 100,</w:t>
      </w:r>
    </w:p>
    <w:p w:rsidR="00EA21E5" w:rsidRPr="0087610D" w:rsidRDefault="00EA21E5" w:rsidP="00AF1ED6">
      <w:pPr>
        <w:autoSpaceDE w:val="0"/>
        <w:autoSpaceDN w:val="0"/>
        <w:adjustRightInd w:val="0"/>
        <w:ind w:firstLine="567"/>
        <w:jc w:val="both"/>
        <w:rPr>
          <w:bCs/>
          <w:color w:val="000000" w:themeColor="text1"/>
          <w:szCs w:val="24"/>
        </w:rPr>
      </w:pPr>
    </w:p>
    <w:p w:rsidR="00EA21E5" w:rsidRPr="0087610D" w:rsidRDefault="00EA21E5" w:rsidP="00AF1ED6">
      <w:pPr>
        <w:autoSpaceDE w:val="0"/>
        <w:autoSpaceDN w:val="0"/>
        <w:adjustRightInd w:val="0"/>
        <w:ind w:firstLine="567"/>
        <w:jc w:val="both"/>
        <w:rPr>
          <w:bCs/>
          <w:color w:val="000000" w:themeColor="text1"/>
          <w:szCs w:val="24"/>
        </w:rPr>
      </w:pPr>
      <w:proofErr w:type="gramStart"/>
      <w:r w:rsidRPr="0087610D">
        <w:rPr>
          <w:bCs/>
          <w:color w:val="000000" w:themeColor="text1"/>
          <w:szCs w:val="24"/>
        </w:rPr>
        <w:t xml:space="preserve">где </w:t>
      </w:r>
      <w:proofErr w:type="spellStart"/>
      <w:r w:rsidRPr="0087610D">
        <w:rPr>
          <w:bCs/>
          <w:color w:val="000000" w:themeColor="text1"/>
          <w:szCs w:val="24"/>
        </w:rPr>
        <w:t>Ц</w:t>
      </w:r>
      <w:r w:rsidRPr="0087610D">
        <w:rPr>
          <w:bCs/>
          <w:color w:val="000000" w:themeColor="text1"/>
          <w:szCs w:val="24"/>
          <w:vertAlign w:val="subscript"/>
        </w:rPr>
        <w:t>нач</w:t>
      </w:r>
      <w:proofErr w:type="spellEnd"/>
      <w:r w:rsidRPr="0087610D">
        <w:rPr>
          <w:bCs/>
          <w:color w:val="000000" w:themeColor="text1"/>
          <w:szCs w:val="24"/>
        </w:rPr>
        <w:t xml:space="preserve">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 (в случае, предусмотренном </w:t>
      </w:r>
      <w:hyperlink r:id="rId12" w:history="1">
        <w:r w:rsidRPr="0087610D">
          <w:rPr>
            <w:bCs/>
            <w:color w:val="000000" w:themeColor="text1"/>
            <w:szCs w:val="24"/>
          </w:rPr>
          <w:t>частью 24 статьи 22</w:t>
        </w:r>
      </w:hyperlink>
      <w:r w:rsidRPr="0087610D">
        <w:rPr>
          <w:bCs/>
          <w:color w:val="000000" w:themeColor="text1"/>
          <w:szCs w:val="24"/>
        </w:rPr>
        <w:t xml:space="preserve"> Федерального закона, в том числе при проведении в таком случае совместного конкурса);</w:t>
      </w:r>
      <w:proofErr w:type="gramEnd"/>
    </w:p>
    <w:p w:rsidR="00EA21E5" w:rsidRPr="0087610D" w:rsidRDefault="00EA21E5" w:rsidP="00AF1ED6">
      <w:pPr>
        <w:autoSpaceDE w:val="0"/>
        <w:autoSpaceDN w:val="0"/>
        <w:adjustRightInd w:val="0"/>
        <w:ind w:firstLine="567"/>
        <w:jc w:val="both"/>
        <w:rPr>
          <w:bCs/>
          <w:color w:val="000000" w:themeColor="text1"/>
          <w:szCs w:val="24"/>
        </w:rPr>
      </w:pPr>
      <w:bookmarkStart w:id="1" w:name="Par13"/>
      <w:bookmarkEnd w:id="1"/>
      <w:r w:rsidRPr="0087610D">
        <w:rPr>
          <w:bCs/>
          <w:color w:val="000000" w:themeColor="text1"/>
          <w:szCs w:val="24"/>
        </w:rPr>
        <w:lastRenderedPageBreak/>
        <w:t xml:space="preserve">б) для подлежащей в соответствии с Федеральным </w:t>
      </w:r>
      <w:hyperlink r:id="rId13" w:history="1">
        <w:r w:rsidRPr="0087610D">
          <w:rPr>
            <w:bCs/>
            <w:color w:val="000000" w:themeColor="text1"/>
            <w:szCs w:val="24"/>
          </w:rPr>
          <w:t>законом</w:t>
        </w:r>
      </w:hyperlink>
      <w:r w:rsidRPr="0087610D">
        <w:rPr>
          <w:bCs/>
          <w:color w:val="000000" w:themeColor="text1"/>
          <w:szCs w:val="24"/>
        </w:rPr>
        <w:t xml:space="preserve"> оценке заявки участника закупки, ценовое предложение которого предусматривает снижение цены контракта либо суммы цен ниже нуля, по критерию оценки </w:t>
      </w:r>
      <w:r w:rsidR="007B77DB" w:rsidRPr="0087610D">
        <w:rPr>
          <w:bCs/>
          <w:color w:val="000000" w:themeColor="text1"/>
          <w:szCs w:val="24"/>
        </w:rPr>
        <w:t>«</w:t>
      </w:r>
      <w:r w:rsidRPr="0087610D">
        <w:rPr>
          <w:bCs/>
          <w:color w:val="000000" w:themeColor="text1"/>
          <w:szCs w:val="24"/>
        </w:rPr>
        <w:t>цена контракта, сумма цен единиц товара, работы, услуги</w:t>
      </w:r>
      <w:r w:rsidR="007B77DB" w:rsidRPr="0087610D">
        <w:rPr>
          <w:bCs/>
          <w:color w:val="000000" w:themeColor="text1"/>
          <w:szCs w:val="24"/>
        </w:rPr>
        <w:t>»</w:t>
      </w:r>
      <w:r w:rsidRPr="0087610D">
        <w:rPr>
          <w:bCs/>
          <w:color w:val="000000" w:themeColor="text1"/>
          <w:szCs w:val="24"/>
        </w:rPr>
        <w:t xml:space="preserve"> значение количества баллов по указанному критерию оценки (</w:t>
      </w:r>
      <w:proofErr w:type="spellStart"/>
      <w:r w:rsidRPr="0087610D">
        <w:rPr>
          <w:bCs/>
          <w:color w:val="000000" w:themeColor="text1"/>
          <w:szCs w:val="24"/>
        </w:rPr>
        <w:t>БЦ</w:t>
      </w:r>
      <w:proofErr w:type="gramStart"/>
      <w:r w:rsidRPr="0087610D">
        <w:rPr>
          <w:bCs/>
          <w:color w:val="000000" w:themeColor="text1"/>
          <w:szCs w:val="24"/>
          <w:vertAlign w:val="subscript"/>
        </w:rPr>
        <w:t>i</w:t>
      </w:r>
      <w:proofErr w:type="spellEnd"/>
      <w:proofErr w:type="gramEnd"/>
      <w:r w:rsidRPr="0087610D">
        <w:rPr>
          <w:bCs/>
          <w:color w:val="000000" w:themeColor="text1"/>
          <w:szCs w:val="24"/>
        </w:rPr>
        <w:t>) определяется по формуле:</w:t>
      </w:r>
    </w:p>
    <w:p w:rsidR="00EA21E5" w:rsidRPr="0087610D" w:rsidRDefault="00EA21E5" w:rsidP="00AF1ED6">
      <w:pPr>
        <w:autoSpaceDE w:val="0"/>
        <w:autoSpaceDN w:val="0"/>
        <w:adjustRightInd w:val="0"/>
        <w:ind w:firstLine="567"/>
        <w:jc w:val="both"/>
        <w:rPr>
          <w:bCs/>
          <w:color w:val="000000" w:themeColor="text1"/>
          <w:szCs w:val="24"/>
        </w:rPr>
      </w:pPr>
    </w:p>
    <w:p w:rsidR="00BE1778" w:rsidRPr="00EF5F30" w:rsidRDefault="00BE1778" w:rsidP="00BE1778">
      <w:pPr>
        <w:autoSpaceDE w:val="0"/>
        <w:autoSpaceDN w:val="0"/>
        <w:adjustRightInd w:val="0"/>
        <w:ind w:firstLine="567"/>
        <w:jc w:val="center"/>
        <w:rPr>
          <w:bCs/>
          <w:color w:val="000000" w:themeColor="text1"/>
          <w:szCs w:val="24"/>
        </w:rPr>
      </w:pPr>
      <w:r>
        <w:rPr>
          <w:bCs/>
          <w:color w:val="000000" w:themeColor="text1"/>
          <w:szCs w:val="24"/>
        </w:rPr>
        <w:t>БЦ</w:t>
      </w:r>
      <w:proofErr w:type="spellStart"/>
      <w:proofErr w:type="gramStart"/>
      <w:r w:rsidRPr="00EF5F30">
        <w:rPr>
          <w:bCs/>
          <w:color w:val="000000" w:themeColor="text1"/>
          <w:sz w:val="18"/>
          <w:szCs w:val="24"/>
          <w:lang w:val="en-US"/>
        </w:rPr>
        <w:t>i</w:t>
      </w:r>
      <w:proofErr w:type="spellEnd"/>
      <w:proofErr w:type="gramEnd"/>
      <w:r w:rsidRPr="00EF5F30">
        <w:rPr>
          <w:bCs/>
          <w:color w:val="000000" w:themeColor="text1"/>
          <w:szCs w:val="24"/>
        </w:rPr>
        <w:t xml:space="preserve">= 100 </w:t>
      </w:r>
      <w:r>
        <w:rPr>
          <w:bCs/>
          <w:color w:val="000000" w:themeColor="text1"/>
          <w:szCs w:val="24"/>
        </w:rPr>
        <w:t>–</w:t>
      </w:r>
      <w:r w:rsidRPr="00EF5F30">
        <w:rPr>
          <w:bCs/>
          <w:color w:val="000000" w:themeColor="text1"/>
          <w:szCs w:val="24"/>
        </w:rPr>
        <w:t xml:space="preserve"> ((</w:t>
      </w:r>
      <w:proofErr w:type="spellStart"/>
      <w:r>
        <w:rPr>
          <w:bCs/>
          <w:color w:val="000000" w:themeColor="text1"/>
          <w:szCs w:val="24"/>
        </w:rPr>
        <w:t>Ц</w:t>
      </w:r>
      <w:r w:rsidRPr="00EF5F30">
        <w:rPr>
          <w:bCs/>
          <w:color w:val="000000" w:themeColor="text1"/>
          <w:sz w:val="18"/>
          <w:szCs w:val="24"/>
        </w:rPr>
        <w:t>л</w:t>
      </w:r>
      <w:proofErr w:type="spellEnd"/>
      <w:r>
        <w:rPr>
          <w:bCs/>
          <w:color w:val="000000" w:themeColor="text1"/>
          <w:sz w:val="18"/>
          <w:szCs w:val="24"/>
        </w:rPr>
        <w:t xml:space="preserve"> -</w:t>
      </w:r>
      <w:r>
        <w:rPr>
          <w:bCs/>
          <w:color w:val="000000" w:themeColor="text1"/>
          <w:szCs w:val="24"/>
        </w:rPr>
        <w:t xml:space="preserve"> Ц</w:t>
      </w:r>
      <w:proofErr w:type="spellStart"/>
      <w:r w:rsidRPr="00EF5F30">
        <w:rPr>
          <w:bCs/>
          <w:color w:val="000000" w:themeColor="text1"/>
          <w:sz w:val="18"/>
          <w:szCs w:val="24"/>
          <w:lang w:val="en-US"/>
        </w:rPr>
        <w:t>i</w:t>
      </w:r>
      <w:proofErr w:type="spellEnd"/>
      <w:r w:rsidRPr="00EF5F30">
        <w:rPr>
          <w:bCs/>
          <w:color w:val="000000" w:themeColor="text1"/>
          <w:szCs w:val="24"/>
        </w:rPr>
        <w:t>)</w:t>
      </w:r>
      <w:r>
        <w:rPr>
          <w:bCs/>
          <w:color w:val="000000" w:themeColor="text1"/>
          <w:szCs w:val="24"/>
        </w:rPr>
        <w:t xml:space="preserve"> </w:t>
      </w:r>
      <w:r w:rsidRPr="00EF5F30">
        <w:rPr>
          <w:bCs/>
          <w:color w:val="000000" w:themeColor="text1"/>
          <w:szCs w:val="24"/>
        </w:rPr>
        <w:t xml:space="preserve">/ </w:t>
      </w:r>
      <w:r>
        <w:rPr>
          <w:bCs/>
          <w:color w:val="000000" w:themeColor="text1"/>
          <w:szCs w:val="24"/>
        </w:rPr>
        <w:t>(</w:t>
      </w:r>
      <w:proofErr w:type="spellStart"/>
      <w:r>
        <w:rPr>
          <w:bCs/>
          <w:color w:val="000000" w:themeColor="text1"/>
          <w:szCs w:val="24"/>
        </w:rPr>
        <w:t>Ц</w:t>
      </w:r>
      <w:r w:rsidRPr="00895F54">
        <w:rPr>
          <w:bCs/>
          <w:color w:val="000000" w:themeColor="text1"/>
          <w:sz w:val="18"/>
          <w:szCs w:val="24"/>
        </w:rPr>
        <w:t>нач</w:t>
      </w:r>
      <w:proofErr w:type="spellEnd"/>
      <w:r>
        <w:rPr>
          <w:bCs/>
          <w:color w:val="000000" w:themeColor="text1"/>
          <w:szCs w:val="24"/>
        </w:rPr>
        <w:t xml:space="preserve"> + </w:t>
      </w:r>
      <w:proofErr w:type="spellStart"/>
      <w:r>
        <w:rPr>
          <w:bCs/>
          <w:color w:val="000000" w:themeColor="text1"/>
          <w:szCs w:val="24"/>
        </w:rPr>
        <w:t>Ц</w:t>
      </w:r>
      <w:r w:rsidRPr="00EF5F30">
        <w:rPr>
          <w:bCs/>
          <w:color w:val="000000" w:themeColor="text1"/>
          <w:sz w:val="18"/>
          <w:szCs w:val="24"/>
        </w:rPr>
        <w:t>л</w:t>
      </w:r>
      <w:proofErr w:type="spellEnd"/>
      <w:r w:rsidRPr="00EF5F30">
        <w:rPr>
          <w:bCs/>
          <w:color w:val="000000" w:themeColor="text1"/>
          <w:szCs w:val="24"/>
        </w:rPr>
        <w:t>)</w:t>
      </w:r>
      <w:r>
        <w:rPr>
          <w:bCs/>
          <w:color w:val="000000" w:themeColor="text1"/>
          <w:szCs w:val="24"/>
        </w:rPr>
        <w:t>)</w:t>
      </w:r>
      <w:r w:rsidRPr="00EF5F30">
        <w:rPr>
          <w:bCs/>
          <w:color w:val="000000" w:themeColor="text1"/>
          <w:szCs w:val="24"/>
        </w:rPr>
        <w:t xml:space="preserve"> </w:t>
      </w:r>
      <w:r>
        <w:rPr>
          <w:bCs/>
          <w:color w:val="000000" w:themeColor="text1"/>
          <w:szCs w:val="24"/>
          <w:lang w:val="en-US"/>
        </w:rPr>
        <w:t>x</w:t>
      </w:r>
      <w:r>
        <w:rPr>
          <w:bCs/>
          <w:color w:val="000000" w:themeColor="text1"/>
          <w:szCs w:val="24"/>
        </w:rPr>
        <w:t xml:space="preserve"> 100.</w:t>
      </w:r>
    </w:p>
    <w:p w:rsidR="00EA21E5" w:rsidRPr="0087610D" w:rsidRDefault="00EA21E5" w:rsidP="00AF1ED6">
      <w:pPr>
        <w:autoSpaceDE w:val="0"/>
        <w:autoSpaceDN w:val="0"/>
        <w:adjustRightInd w:val="0"/>
        <w:ind w:firstLine="567"/>
        <w:jc w:val="both"/>
        <w:rPr>
          <w:bCs/>
          <w:color w:val="000000" w:themeColor="text1"/>
          <w:szCs w:val="24"/>
        </w:rPr>
      </w:pPr>
    </w:p>
    <w:p w:rsidR="00EA21E5" w:rsidRPr="0087610D" w:rsidRDefault="00EA21E5" w:rsidP="00AF1ED6">
      <w:pPr>
        <w:autoSpaceDE w:val="0"/>
        <w:autoSpaceDN w:val="0"/>
        <w:adjustRightInd w:val="0"/>
        <w:ind w:firstLine="567"/>
        <w:jc w:val="both"/>
        <w:rPr>
          <w:bCs/>
          <w:color w:val="000000" w:themeColor="text1"/>
          <w:szCs w:val="24"/>
        </w:rPr>
      </w:pPr>
      <w:r w:rsidRPr="0087610D">
        <w:rPr>
          <w:bCs/>
          <w:color w:val="000000" w:themeColor="text1"/>
          <w:szCs w:val="24"/>
        </w:rPr>
        <w:t xml:space="preserve">Оценка заявок по критерию оценки </w:t>
      </w:r>
      <w:r w:rsidR="007B77DB" w:rsidRPr="0087610D">
        <w:rPr>
          <w:bCs/>
          <w:color w:val="000000" w:themeColor="text1"/>
          <w:szCs w:val="24"/>
        </w:rPr>
        <w:t>«</w:t>
      </w:r>
      <w:r w:rsidRPr="0087610D">
        <w:rPr>
          <w:bCs/>
          <w:color w:val="000000" w:themeColor="text1"/>
          <w:szCs w:val="24"/>
        </w:rPr>
        <w:t>цена контракта, сумма цен единиц товара, работы, услуги</w:t>
      </w:r>
      <w:r w:rsidR="007B77DB" w:rsidRPr="0087610D">
        <w:rPr>
          <w:bCs/>
          <w:color w:val="000000" w:themeColor="text1"/>
          <w:szCs w:val="24"/>
        </w:rPr>
        <w:t>»</w:t>
      </w:r>
      <w:r w:rsidRPr="0087610D">
        <w:rPr>
          <w:bCs/>
          <w:color w:val="000000" w:themeColor="text1"/>
          <w:szCs w:val="24"/>
        </w:rPr>
        <w:t xml:space="preserve"> осуществляется в соответствии со следующими требованиями:</w:t>
      </w:r>
    </w:p>
    <w:p w:rsidR="00EA21E5" w:rsidRPr="0087610D" w:rsidRDefault="00EA21E5" w:rsidP="00AF1ED6">
      <w:pPr>
        <w:autoSpaceDE w:val="0"/>
        <w:autoSpaceDN w:val="0"/>
        <w:adjustRightInd w:val="0"/>
        <w:ind w:firstLine="567"/>
        <w:jc w:val="both"/>
        <w:rPr>
          <w:bCs/>
          <w:color w:val="000000" w:themeColor="text1"/>
          <w:szCs w:val="24"/>
        </w:rPr>
      </w:pPr>
      <w:r w:rsidRPr="0087610D">
        <w:rPr>
          <w:bCs/>
          <w:color w:val="000000" w:themeColor="text1"/>
          <w:szCs w:val="24"/>
        </w:rPr>
        <w:t>а) 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EA21E5" w:rsidRPr="0087610D" w:rsidRDefault="00EA21E5" w:rsidP="00AF1ED6">
      <w:pPr>
        <w:autoSpaceDE w:val="0"/>
        <w:autoSpaceDN w:val="0"/>
        <w:adjustRightInd w:val="0"/>
        <w:ind w:firstLine="567"/>
        <w:jc w:val="both"/>
        <w:rPr>
          <w:bCs/>
          <w:color w:val="000000" w:themeColor="text1"/>
          <w:szCs w:val="24"/>
        </w:rPr>
      </w:pPr>
      <w:r w:rsidRPr="0087610D">
        <w:rPr>
          <w:bCs/>
          <w:color w:val="000000" w:themeColor="text1"/>
          <w:szCs w:val="24"/>
        </w:rPr>
        <w:t xml:space="preserve">б) значение </w:t>
      </w:r>
      <w:proofErr w:type="spellStart"/>
      <w:r w:rsidRPr="0087610D">
        <w:rPr>
          <w:bCs/>
          <w:color w:val="000000" w:themeColor="text1"/>
          <w:szCs w:val="24"/>
        </w:rPr>
        <w:t>Ц</w:t>
      </w:r>
      <w:r w:rsidRPr="0087610D">
        <w:rPr>
          <w:bCs/>
          <w:color w:val="000000" w:themeColor="text1"/>
          <w:szCs w:val="24"/>
          <w:vertAlign w:val="subscript"/>
        </w:rPr>
        <w:t>л</w:t>
      </w:r>
      <w:proofErr w:type="spellEnd"/>
      <w:r w:rsidRPr="0087610D">
        <w:rPr>
          <w:bCs/>
          <w:color w:val="000000" w:themeColor="text1"/>
          <w:szCs w:val="24"/>
        </w:rPr>
        <w:t xml:space="preserve"> при применении формулы, предусмотренной </w:t>
      </w:r>
      <w:hyperlink w:anchor="Par8" w:history="1">
        <w:r w:rsidRPr="0087610D">
          <w:rPr>
            <w:bCs/>
            <w:color w:val="000000" w:themeColor="text1"/>
            <w:szCs w:val="24"/>
          </w:rPr>
          <w:t>подпунктом "а" пункта 10</w:t>
        </w:r>
      </w:hyperlink>
      <w:r w:rsidRPr="0087610D">
        <w:rPr>
          <w:bCs/>
          <w:color w:val="000000" w:themeColor="text1"/>
          <w:szCs w:val="24"/>
        </w:rPr>
        <w:t xml:space="preserve"> Положения, и значения </w:t>
      </w:r>
      <w:proofErr w:type="spellStart"/>
      <w:r w:rsidRPr="0087610D">
        <w:rPr>
          <w:bCs/>
          <w:color w:val="000000" w:themeColor="text1"/>
          <w:szCs w:val="24"/>
        </w:rPr>
        <w:t>Ц</w:t>
      </w:r>
      <w:r w:rsidRPr="0087610D">
        <w:rPr>
          <w:bCs/>
          <w:color w:val="000000" w:themeColor="text1"/>
          <w:szCs w:val="24"/>
          <w:vertAlign w:val="subscript"/>
        </w:rPr>
        <w:t>л</w:t>
      </w:r>
      <w:proofErr w:type="spellEnd"/>
      <w:r w:rsidRPr="0087610D">
        <w:rPr>
          <w:bCs/>
          <w:color w:val="000000" w:themeColor="text1"/>
          <w:szCs w:val="24"/>
        </w:rPr>
        <w:t xml:space="preserve"> и </w:t>
      </w:r>
      <w:proofErr w:type="spellStart"/>
      <w:r w:rsidRPr="0087610D">
        <w:rPr>
          <w:bCs/>
          <w:color w:val="000000" w:themeColor="text1"/>
          <w:szCs w:val="24"/>
        </w:rPr>
        <w:t>Ц</w:t>
      </w:r>
      <w:proofErr w:type="gramStart"/>
      <w:r w:rsidRPr="0087610D">
        <w:rPr>
          <w:bCs/>
          <w:color w:val="000000" w:themeColor="text1"/>
          <w:szCs w:val="24"/>
          <w:vertAlign w:val="subscript"/>
        </w:rPr>
        <w:t>i</w:t>
      </w:r>
      <w:proofErr w:type="spellEnd"/>
      <w:proofErr w:type="gramEnd"/>
      <w:r w:rsidRPr="0087610D">
        <w:rPr>
          <w:bCs/>
          <w:color w:val="000000" w:themeColor="text1"/>
          <w:szCs w:val="24"/>
        </w:rPr>
        <w:t xml:space="preserve"> при применении формулы, предусмотренной </w:t>
      </w:r>
      <w:hyperlink w:anchor="Par13" w:history="1">
        <w:r w:rsidRPr="0087610D">
          <w:rPr>
            <w:bCs/>
            <w:color w:val="000000" w:themeColor="text1"/>
            <w:szCs w:val="24"/>
          </w:rPr>
          <w:t>подпунктом "б" пункта 10</w:t>
        </w:r>
      </w:hyperlink>
      <w:r w:rsidRPr="0087610D">
        <w:rPr>
          <w:bCs/>
          <w:color w:val="000000" w:themeColor="text1"/>
          <w:szCs w:val="24"/>
        </w:rPr>
        <w:t xml:space="preserve"> Положения, указываются без знака "минус";</w:t>
      </w:r>
    </w:p>
    <w:p w:rsidR="00EA21E5" w:rsidRPr="0087610D" w:rsidRDefault="00EA21E5" w:rsidP="00AF1ED6">
      <w:pPr>
        <w:autoSpaceDE w:val="0"/>
        <w:autoSpaceDN w:val="0"/>
        <w:adjustRightInd w:val="0"/>
        <w:ind w:firstLine="567"/>
        <w:jc w:val="both"/>
        <w:rPr>
          <w:bCs/>
          <w:color w:val="000000" w:themeColor="text1"/>
          <w:szCs w:val="24"/>
        </w:rPr>
      </w:pPr>
      <w:r w:rsidRPr="0087610D">
        <w:rPr>
          <w:bCs/>
          <w:color w:val="000000" w:themeColor="text1"/>
          <w:szCs w:val="24"/>
        </w:rPr>
        <w:t>в) применение показателей оценки по критерию оценки "цена контракта, сумма цен единиц товара, работы, услуги" не допускается.</w:t>
      </w:r>
    </w:p>
    <w:p w:rsidR="00EA21E5" w:rsidRPr="0087610D" w:rsidRDefault="00EA21E5" w:rsidP="00AF1ED6">
      <w:pPr>
        <w:ind w:firstLine="567"/>
        <w:rPr>
          <w:color w:val="000000" w:themeColor="text1"/>
          <w:szCs w:val="24"/>
        </w:rPr>
      </w:pPr>
    </w:p>
    <w:p w:rsidR="000756C6" w:rsidRPr="002B2F07" w:rsidRDefault="000756C6" w:rsidP="00AF1ED6">
      <w:pPr>
        <w:keepNext/>
        <w:keepLines/>
        <w:widowControl w:val="0"/>
        <w:snapToGrid w:val="0"/>
        <w:ind w:firstLine="567"/>
        <w:contextualSpacing/>
        <w:jc w:val="both"/>
        <w:rPr>
          <w:b/>
          <w:color w:val="000000" w:themeColor="text1"/>
          <w:szCs w:val="24"/>
        </w:rPr>
      </w:pPr>
      <w:r w:rsidRPr="002B2F07">
        <w:rPr>
          <w:b/>
          <w:color w:val="000000" w:themeColor="text1"/>
          <w:szCs w:val="24"/>
        </w:rPr>
        <w:t xml:space="preserve">2. Оценка заявок по критерию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rsidR="002B2F07" w:rsidRDefault="002B2F07" w:rsidP="00AF1ED6">
      <w:pPr>
        <w:keepNext/>
        <w:keepLines/>
        <w:widowControl w:val="0"/>
        <w:ind w:firstLine="567"/>
        <w:rPr>
          <w:color w:val="000000" w:themeColor="text1"/>
          <w:szCs w:val="24"/>
        </w:rPr>
      </w:pPr>
    </w:p>
    <w:p w:rsidR="000756C6" w:rsidRPr="0087610D" w:rsidRDefault="000756C6" w:rsidP="00AF1ED6">
      <w:pPr>
        <w:keepNext/>
        <w:keepLines/>
        <w:widowControl w:val="0"/>
        <w:ind w:firstLine="567"/>
        <w:rPr>
          <w:color w:val="000000" w:themeColor="text1"/>
          <w:szCs w:val="24"/>
        </w:rPr>
      </w:pPr>
      <w:r w:rsidRPr="0087610D">
        <w:rPr>
          <w:color w:val="000000" w:themeColor="text1"/>
          <w:szCs w:val="24"/>
        </w:rPr>
        <w:t>Значимость критерия – 40 %</w:t>
      </w:r>
    </w:p>
    <w:p w:rsidR="000756C6" w:rsidRPr="0087610D" w:rsidRDefault="000756C6" w:rsidP="00AF1ED6">
      <w:pPr>
        <w:keepNext/>
        <w:keepLines/>
        <w:widowControl w:val="0"/>
        <w:snapToGrid w:val="0"/>
        <w:ind w:firstLine="567"/>
        <w:contextualSpacing/>
        <w:rPr>
          <w:color w:val="000000" w:themeColor="text1"/>
          <w:szCs w:val="24"/>
        </w:rPr>
      </w:pPr>
      <w:r w:rsidRPr="0087610D">
        <w:rPr>
          <w:color w:val="000000" w:themeColor="text1"/>
          <w:szCs w:val="24"/>
        </w:rPr>
        <w:t>В отношении данного критерия оценки предусматриваются показатели оценки, раскрывающие его содержание и учитывающие особенности оценки закупаемых работ.</w:t>
      </w:r>
    </w:p>
    <w:p w:rsidR="000756C6" w:rsidRPr="0087610D" w:rsidRDefault="000756C6" w:rsidP="00AF1ED6">
      <w:pPr>
        <w:keepNext/>
        <w:keepLines/>
        <w:widowControl w:val="0"/>
        <w:snapToGrid w:val="0"/>
        <w:ind w:firstLine="567"/>
        <w:contextualSpacing/>
        <w:rPr>
          <w:szCs w:val="24"/>
        </w:rPr>
      </w:pPr>
    </w:p>
    <w:p w:rsidR="000756C6" w:rsidRPr="0087610D" w:rsidRDefault="000756C6" w:rsidP="00AF1ED6">
      <w:pPr>
        <w:keepNext/>
        <w:keepLines/>
        <w:widowControl w:val="0"/>
        <w:ind w:firstLine="567"/>
        <w:jc w:val="center"/>
        <w:rPr>
          <w:b/>
          <w:szCs w:val="24"/>
        </w:rPr>
      </w:pPr>
      <w:r w:rsidRPr="0087610D">
        <w:rPr>
          <w:b/>
          <w:szCs w:val="24"/>
        </w:rPr>
        <w:t>Применяемые показатели данного критерия оценки:</w:t>
      </w:r>
    </w:p>
    <w:p w:rsidR="000756C6" w:rsidRPr="0087610D" w:rsidRDefault="000756C6" w:rsidP="00AF1ED6">
      <w:pPr>
        <w:pStyle w:val="afff8"/>
        <w:ind w:firstLine="567"/>
        <w:jc w:val="both"/>
        <w:rPr>
          <w:rFonts w:ascii="Times New Roman" w:hAnsi="Times New Roman"/>
          <w:b/>
          <w:sz w:val="24"/>
          <w:szCs w:val="24"/>
        </w:rPr>
      </w:pPr>
    </w:p>
    <w:p w:rsidR="000756C6" w:rsidRPr="0087610D" w:rsidRDefault="000756C6" w:rsidP="00AF1ED6">
      <w:pPr>
        <w:pStyle w:val="afff8"/>
        <w:ind w:firstLine="567"/>
        <w:jc w:val="both"/>
        <w:rPr>
          <w:rFonts w:ascii="Times New Roman" w:hAnsi="Times New Roman"/>
          <w:b/>
          <w:sz w:val="24"/>
          <w:szCs w:val="24"/>
        </w:rPr>
      </w:pPr>
      <w:r w:rsidRPr="0087610D">
        <w:rPr>
          <w:rFonts w:ascii="Times New Roman" w:hAnsi="Times New Roman"/>
          <w:b/>
          <w:sz w:val="24"/>
          <w:szCs w:val="24"/>
        </w:rPr>
        <w:t xml:space="preserve">2.1. Наличие у участников закупки </w:t>
      </w:r>
      <w:r w:rsidR="0037764B" w:rsidRPr="0037764B">
        <w:rPr>
          <w:rFonts w:ascii="Times New Roman" w:hAnsi="Times New Roman"/>
          <w:b/>
          <w:sz w:val="24"/>
          <w:szCs w:val="24"/>
        </w:rPr>
        <w:t>на праве собственности или ином законном основании оборудования и других материальных ресурсов</w:t>
      </w:r>
      <w:r w:rsidRPr="0087610D">
        <w:rPr>
          <w:rFonts w:ascii="Times New Roman" w:hAnsi="Times New Roman"/>
          <w:b/>
          <w:sz w:val="24"/>
          <w:szCs w:val="24"/>
        </w:rPr>
        <w:t>.</w:t>
      </w:r>
    </w:p>
    <w:p w:rsidR="000756C6" w:rsidRPr="0087610D" w:rsidRDefault="000756C6" w:rsidP="00AF1ED6">
      <w:pPr>
        <w:pStyle w:val="afff8"/>
        <w:ind w:firstLine="567"/>
        <w:jc w:val="both"/>
        <w:rPr>
          <w:rFonts w:ascii="Times New Roman" w:hAnsi="Times New Roman"/>
          <w:bCs/>
          <w:sz w:val="24"/>
          <w:szCs w:val="24"/>
        </w:rPr>
      </w:pPr>
      <w:r w:rsidRPr="0087610D">
        <w:rPr>
          <w:rFonts w:ascii="Times New Roman" w:hAnsi="Times New Roman"/>
          <w:bCs/>
          <w:sz w:val="24"/>
          <w:szCs w:val="24"/>
        </w:rPr>
        <w:t>Оценка показателя (баллы): 100 баллов.</w:t>
      </w:r>
    </w:p>
    <w:p w:rsidR="000756C6" w:rsidRPr="0087610D" w:rsidRDefault="000756C6" w:rsidP="00AF1ED6">
      <w:pPr>
        <w:pStyle w:val="afff8"/>
        <w:ind w:firstLine="567"/>
        <w:jc w:val="both"/>
        <w:rPr>
          <w:rFonts w:ascii="Times New Roman" w:hAnsi="Times New Roman"/>
          <w:bCs/>
          <w:sz w:val="24"/>
          <w:szCs w:val="24"/>
        </w:rPr>
      </w:pPr>
      <w:r w:rsidRPr="0087610D">
        <w:rPr>
          <w:rFonts w:ascii="Times New Roman" w:hAnsi="Times New Roman"/>
          <w:bCs/>
          <w:sz w:val="24"/>
          <w:szCs w:val="24"/>
        </w:rPr>
        <w:t xml:space="preserve">Значимость показателя: </w:t>
      </w:r>
      <w:r w:rsidR="0037764B">
        <w:rPr>
          <w:rFonts w:ascii="Times New Roman" w:hAnsi="Times New Roman"/>
          <w:bCs/>
          <w:sz w:val="24"/>
          <w:szCs w:val="24"/>
        </w:rPr>
        <w:t>50</w:t>
      </w:r>
      <w:r w:rsidRPr="0087610D">
        <w:rPr>
          <w:rFonts w:ascii="Times New Roman" w:hAnsi="Times New Roman"/>
          <w:bCs/>
          <w:sz w:val="24"/>
          <w:szCs w:val="24"/>
        </w:rPr>
        <w:t>%.</w:t>
      </w:r>
    </w:p>
    <w:p w:rsidR="000756C6" w:rsidRPr="0087610D" w:rsidRDefault="000756C6" w:rsidP="00AF1ED6">
      <w:pPr>
        <w:pStyle w:val="afff8"/>
        <w:ind w:firstLine="567"/>
        <w:jc w:val="both"/>
        <w:rPr>
          <w:rFonts w:ascii="Times New Roman" w:hAnsi="Times New Roman"/>
          <w:bCs/>
          <w:sz w:val="24"/>
          <w:szCs w:val="24"/>
        </w:rPr>
      </w:pPr>
      <w:r w:rsidRPr="0087610D">
        <w:rPr>
          <w:rFonts w:ascii="Times New Roman" w:hAnsi="Times New Roman"/>
          <w:bCs/>
          <w:sz w:val="24"/>
          <w:szCs w:val="24"/>
        </w:rPr>
        <w:t xml:space="preserve">По данному показателю оцениваются </w:t>
      </w:r>
      <w:r w:rsidR="0037764B" w:rsidRPr="0037764B">
        <w:rPr>
          <w:rFonts w:ascii="Times New Roman" w:hAnsi="Times New Roman"/>
          <w:bCs/>
          <w:sz w:val="24"/>
          <w:szCs w:val="24"/>
        </w:rPr>
        <w:t>наличие в пределах административных границ субъекта Российской Федерации (Ростовская область)  стационарных пунктов</w:t>
      </w:r>
      <w:r w:rsidR="000D7115">
        <w:rPr>
          <w:rFonts w:ascii="Times New Roman" w:hAnsi="Times New Roman"/>
          <w:bCs/>
          <w:sz w:val="24"/>
          <w:szCs w:val="24"/>
        </w:rPr>
        <w:t xml:space="preserve"> </w:t>
      </w:r>
      <w:r w:rsidR="000D7115" w:rsidRPr="0037764B">
        <w:rPr>
          <w:rFonts w:ascii="Times New Roman" w:hAnsi="Times New Roman"/>
          <w:bCs/>
          <w:sz w:val="24"/>
          <w:szCs w:val="24"/>
        </w:rPr>
        <w:t>приема, обслуживания</w:t>
      </w:r>
      <w:r w:rsidR="000D7115">
        <w:rPr>
          <w:rFonts w:ascii="Times New Roman" w:hAnsi="Times New Roman"/>
          <w:bCs/>
          <w:sz w:val="24"/>
          <w:szCs w:val="24"/>
        </w:rPr>
        <w:t>,</w:t>
      </w:r>
      <w:r w:rsidR="000D7115" w:rsidRPr="0037764B">
        <w:rPr>
          <w:rFonts w:ascii="Times New Roman" w:hAnsi="Times New Roman"/>
          <w:bCs/>
          <w:sz w:val="24"/>
          <w:szCs w:val="24"/>
        </w:rPr>
        <w:t xml:space="preserve"> обучения и выдачи </w:t>
      </w:r>
      <w:r w:rsidR="000D7115">
        <w:rPr>
          <w:rFonts w:ascii="Times New Roman" w:hAnsi="Times New Roman"/>
          <w:bCs/>
          <w:sz w:val="24"/>
          <w:szCs w:val="24"/>
        </w:rPr>
        <w:t>протезно-ортопедических изделий</w:t>
      </w:r>
      <w:r w:rsidR="0037764B" w:rsidRPr="0037764B">
        <w:rPr>
          <w:rFonts w:ascii="Times New Roman" w:hAnsi="Times New Roman"/>
          <w:bCs/>
          <w:sz w:val="24"/>
          <w:szCs w:val="24"/>
        </w:rPr>
        <w:t>, организованных в соответствии с приказом Министерства труда и социальной защиты РФ от 30  июля 2015 года №527н</w:t>
      </w:r>
      <w:r w:rsidR="000D7115">
        <w:rPr>
          <w:rFonts w:ascii="Times New Roman" w:hAnsi="Times New Roman"/>
          <w:bCs/>
          <w:sz w:val="24"/>
          <w:szCs w:val="24"/>
        </w:rPr>
        <w:t>.</w:t>
      </w:r>
    </w:p>
    <w:p w:rsidR="00615723" w:rsidRPr="0087610D" w:rsidRDefault="00615723" w:rsidP="00AF1ED6">
      <w:pPr>
        <w:pStyle w:val="afff8"/>
        <w:ind w:firstLine="567"/>
        <w:jc w:val="both"/>
        <w:rPr>
          <w:rFonts w:ascii="Times New Roman" w:hAnsi="Times New Roman"/>
          <w:bCs/>
          <w:iCs/>
          <w:sz w:val="24"/>
          <w:szCs w:val="24"/>
        </w:rPr>
      </w:pPr>
    </w:p>
    <w:p w:rsidR="000756C6" w:rsidRDefault="000756C6" w:rsidP="00AF1ED6">
      <w:pPr>
        <w:pStyle w:val="afff8"/>
        <w:ind w:firstLine="567"/>
        <w:jc w:val="both"/>
        <w:rPr>
          <w:rFonts w:ascii="Times New Roman" w:hAnsi="Times New Roman"/>
          <w:bCs/>
          <w:iCs/>
          <w:sz w:val="24"/>
          <w:szCs w:val="24"/>
        </w:rPr>
      </w:pPr>
      <w:r w:rsidRPr="0087610D">
        <w:rPr>
          <w:rFonts w:ascii="Times New Roman" w:hAnsi="Times New Roman"/>
          <w:bCs/>
          <w:iCs/>
          <w:sz w:val="24"/>
          <w:szCs w:val="24"/>
        </w:rPr>
        <w:t>К оценке принимаются</w:t>
      </w:r>
      <w:r w:rsidR="001124C0">
        <w:rPr>
          <w:rFonts w:ascii="Times New Roman" w:hAnsi="Times New Roman"/>
          <w:bCs/>
          <w:iCs/>
          <w:sz w:val="24"/>
          <w:szCs w:val="24"/>
        </w:rPr>
        <w:t>:</w:t>
      </w:r>
      <w:r w:rsidRPr="0087610D">
        <w:rPr>
          <w:rFonts w:ascii="Times New Roman" w:hAnsi="Times New Roman"/>
          <w:bCs/>
          <w:iCs/>
          <w:sz w:val="24"/>
          <w:szCs w:val="24"/>
        </w:rPr>
        <w:t xml:space="preserve"> </w:t>
      </w:r>
    </w:p>
    <w:p w:rsidR="001124C0" w:rsidRPr="001124C0" w:rsidRDefault="001124C0" w:rsidP="001124C0">
      <w:pPr>
        <w:pStyle w:val="afff8"/>
        <w:ind w:firstLine="567"/>
        <w:jc w:val="both"/>
        <w:rPr>
          <w:rFonts w:ascii="Times New Roman" w:hAnsi="Times New Roman"/>
          <w:bCs/>
          <w:iCs/>
          <w:sz w:val="24"/>
          <w:szCs w:val="24"/>
        </w:rPr>
      </w:pPr>
      <w:r w:rsidRPr="001124C0">
        <w:rPr>
          <w:rFonts w:ascii="Times New Roman" w:hAnsi="Times New Roman"/>
          <w:bCs/>
          <w:iCs/>
          <w:sz w:val="24"/>
          <w:szCs w:val="24"/>
        </w:rP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1124C0" w:rsidRPr="001124C0" w:rsidRDefault="001124C0" w:rsidP="001124C0">
      <w:pPr>
        <w:pStyle w:val="afff8"/>
        <w:ind w:firstLine="567"/>
        <w:jc w:val="both"/>
        <w:rPr>
          <w:rFonts w:ascii="Times New Roman" w:hAnsi="Times New Roman"/>
          <w:bCs/>
          <w:iCs/>
          <w:sz w:val="24"/>
          <w:szCs w:val="24"/>
        </w:rPr>
      </w:pPr>
      <w:proofErr w:type="gramStart"/>
      <w:r w:rsidRPr="001124C0">
        <w:rPr>
          <w:rFonts w:ascii="Times New Roman" w:hAnsi="Times New Roman"/>
          <w:bCs/>
          <w:iCs/>
          <w:sz w:val="24"/>
          <w:szCs w:val="24"/>
        </w:rPr>
        <w:lastRenderedPageBreak/>
        <w:t>договор аренды объекта недвижимого имущества на срок исполнения контракта,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w:t>
      </w:r>
      <w:proofErr w:type="gramEnd"/>
      <w:r w:rsidRPr="001124C0">
        <w:rPr>
          <w:rFonts w:ascii="Times New Roman" w:hAnsi="Times New Roman"/>
          <w:bCs/>
          <w:iCs/>
          <w:sz w:val="24"/>
          <w:szCs w:val="24"/>
        </w:rPr>
        <w:t xml:space="preserve"> недвижимого имущества у участника закупки на праве аренды);</w:t>
      </w:r>
    </w:p>
    <w:p w:rsidR="001124C0" w:rsidRPr="0087610D" w:rsidRDefault="001124C0" w:rsidP="001124C0">
      <w:pPr>
        <w:pStyle w:val="afff8"/>
        <w:ind w:firstLine="567"/>
        <w:jc w:val="both"/>
        <w:rPr>
          <w:rFonts w:ascii="Times New Roman" w:hAnsi="Times New Roman"/>
          <w:bCs/>
          <w:iCs/>
          <w:sz w:val="24"/>
          <w:szCs w:val="24"/>
        </w:rPr>
      </w:pPr>
      <w:r w:rsidRPr="001124C0">
        <w:rPr>
          <w:rFonts w:ascii="Times New Roman" w:hAnsi="Times New Roman"/>
          <w:bCs/>
          <w:iCs/>
          <w:sz w:val="24"/>
          <w:szCs w:val="24"/>
        </w:rPr>
        <w:t xml:space="preserve">иные документы, подтверждающие нахождение у участника закупки в течение </w:t>
      </w:r>
      <w:proofErr w:type="gramStart"/>
      <w:r w:rsidRPr="001124C0">
        <w:rPr>
          <w:rFonts w:ascii="Times New Roman" w:hAnsi="Times New Roman"/>
          <w:bCs/>
          <w:iCs/>
          <w:sz w:val="24"/>
          <w:szCs w:val="24"/>
        </w:rPr>
        <w:t>срока исполнения контракта объекта недвижимого имущества</w:t>
      </w:r>
      <w:proofErr w:type="gramEnd"/>
      <w:r w:rsidRPr="001124C0">
        <w:rPr>
          <w:rFonts w:ascii="Times New Roman" w:hAnsi="Times New Roman"/>
          <w:bCs/>
          <w:iCs/>
          <w:sz w:val="24"/>
          <w:szCs w:val="24"/>
        </w:rPr>
        <w:t xml:space="preserve"> на ином законном основании (при наличии объекта недвижимого имущества у участника закупки на ином законном основании)</w:t>
      </w:r>
      <w:r w:rsidR="002B2F07">
        <w:rPr>
          <w:rFonts w:ascii="Times New Roman" w:hAnsi="Times New Roman"/>
          <w:bCs/>
          <w:iCs/>
          <w:sz w:val="24"/>
          <w:szCs w:val="24"/>
        </w:rPr>
        <w:t>, или предварительный договор аренды согласно ст. 429 ГК РФ, подтверждающий факт наличия помещения на период срока действия ГК</w:t>
      </w:r>
      <w:r w:rsidR="000D7115">
        <w:rPr>
          <w:rFonts w:ascii="Times New Roman" w:hAnsi="Times New Roman"/>
          <w:bCs/>
          <w:iCs/>
          <w:sz w:val="24"/>
          <w:szCs w:val="24"/>
        </w:rPr>
        <w:t>.</w:t>
      </w:r>
    </w:p>
    <w:p w:rsidR="000D7115" w:rsidRDefault="000756C6" w:rsidP="00AF1ED6">
      <w:pPr>
        <w:pStyle w:val="afff8"/>
        <w:ind w:firstLine="567"/>
        <w:jc w:val="both"/>
        <w:rPr>
          <w:rFonts w:ascii="Times New Roman" w:hAnsi="Times New Roman"/>
          <w:bCs/>
          <w:sz w:val="24"/>
          <w:szCs w:val="24"/>
        </w:rPr>
      </w:pPr>
      <w:r w:rsidRPr="0087610D">
        <w:rPr>
          <w:rFonts w:ascii="Times New Roman" w:hAnsi="Times New Roman"/>
          <w:bCs/>
          <w:sz w:val="24"/>
          <w:szCs w:val="24"/>
        </w:rPr>
        <w:t xml:space="preserve">Участник закупки </w:t>
      </w:r>
      <w:proofErr w:type="gramStart"/>
      <w:r w:rsidRPr="0087610D">
        <w:rPr>
          <w:rFonts w:ascii="Times New Roman" w:hAnsi="Times New Roman"/>
          <w:bCs/>
          <w:sz w:val="24"/>
          <w:szCs w:val="24"/>
        </w:rPr>
        <w:t>предоставляет документы</w:t>
      </w:r>
      <w:proofErr w:type="gramEnd"/>
      <w:r w:rsidRPr="0087610D">
        <w:rPr>
          <w:rFonts w:ascii="Times New Roman" w:hAnsi="Times New Roman"/>
          <w:bCs/>
          <w:sz w:val="24"/>
          <w:szCs w:val="24"/>
        </w:rPr>
        <w:t xml:space="preserve"> в полном объеме и со всеми приложениями в форме электронных документов или в форме электронных образов бумажных документов.</w:t>
      </w:r>
    </w:p>
    <w:p w:rsidR="000D7115" w:rsidRDefault="002B2F07" w:rsidP="00AF1ED6">
      <w:pPr>
        <w:pStyle w:val="afff8"/>
        <w:ind w:firstLine="567"/>
        <w:jc w:val="both"/>
        <w:rPr>
          <w:rFonts w:ascii="Times New Roman" w:hAnsi="Times New Roman"/>
          <w:sz w:val="24"/>
          <w:szCs w:val="24"/>
        </w:rPr>
      </w:pPr>
      <w:r>
        <w:rPr>
          <w:rFonts w:ascii="Times New Roman" w:hAnsi="Times New Roman"/>
          <w:bCs/>
          <w:sz w:val="24"/>
          <w:szCs w:val="24"/>
        </w:rPr>
        <w:t xml:space="preserve">Значимость показателя оценки </w:t>
      </w:r>
      <w:r w:rsidR="000D7115">
        <w:rPr>
          <w:rFonts w:ascii="Times New Roman" w:hAnsi="Times New Roman"/>
          <w:bCs/>
          <w:sz w:val="24"/>
          <w:szCs w:val="24"/>
        </w:rPr>
        <w:t xml:space="preserve">50 баллов </w:t>
      </w:r>
      <w:r w:rsidRPr="0087610D">
        <w:rPr>
          <w:rFonts w:ascii="Times New Roman" w:hAnsi="Times New Roman"/>
          <w:sz w:val="24"/>
          <w:szCs w:val="24"/>
        </w:rPr>
        <w:t>по детализирующему показателю</w:t>
      </w:r>
      <w:r>
        <w:rPr>
          <w:rFonts w:ascii="Times New Roman" w:hAnsi="Times New Roman"/>
          <w:sz w:val="24"/>
          <w:szCs w:val="24"/>
        </w:rPr>
        <w:t xml:space="preserve"> </w:t>
      </w:r>
      <w:r w:rsidR="000D7115" w:rsidRPr="0087610D">
        <w:rPr>
          <w:rFonts w:ascii="Times New Roman" w:hAnsi="Times New Roman"/>
          <w:sz w:val="24"/>
          <w:szCs w:val="24"/>
        </w:rPr>
        <w:t>(</w:t>
      </w:r>
      <w:proofErr w:type="spellStart"/>
      <w:r w:rsidR="000D7115" w:rsidRPr="0087610D">
        <w:rPr>
          <w:rFonts w:ascii="Times New Roman" w:hAnsi="Times New Roman"/>
          <w:sz w:val="24"/>
          <w:szCs w:val="24"/>
        </w:rPr>
        <w:t>БХ</w:t>
      </w:r>
      <w:proofErr w:type="gramStart"/>
      <w:r w:rsidR="000D7115" w:rsidRPr="0087610D">
        <w:rPr>
          <w:rFonts w:ascii="Times New Roman" w:hAnsi="Times New Roman"/>
          <w:sz w:val="24"/>
          <w:szCs w:val="24"/>
          <w:vertAlign w:val="subscript"/>
        </w:rPr>
        <w:t>i</w:t>
      </w:r>
      <w:proofErr w:type="spellEnd"/>
      <w:proofErr w:type="gramEnd"/>
      <w:r w:rsidR="000D7115" w:rsidRPr="0087610D">
        <w:rPr>
          <w:rFonts w:ascii="Times New Roman" w:hAnsi="Times New Roman"/>
          <w:sz w:val="24"/>
          <w:szCs w:val="24"/>
        </w:rPr>
        <w:t>)</w:t>
      </w:r>
      <w:r w:rsidR="000D7115">
        <w:rPr>
          <w:rFonts w:ascii="Times New Roman" w:hAnsi="Times New Roman"/>
          <w:sz w:val="24"/>
          <w:szCs w:val="24"/>
        </w:rPr>
        <w:t xml:space="preserve"> </w:t>
      </w:r>
      <w:r w:rsidR="000D7115" w:rsidRPr="0087610D">
        <w:rPr>
          <w:rFonts w:ascii="Times New Roman" w:hAnsi="Times New Roman"/>
          <w:sz w:val="24"/>
          <w:szCs w:val="24"/>
        </w:rPr>
        <w:t xml:space="preserve"> присваивае</w:t>
      </w:r>
      <w:r w:rsidR="000D7115">
        <w:rPr>
          <w:rFonts w:ascii="Times New Roman" w:hAnsi="Times New Roman"/>
          <w:sz w:val="24"/>
          <w:szCs w:val="24"/>
        </w:rPr>
        <w:t xml:space="preserve">тся </w:t>
      </w:r>
      <w:r w:rsidR="000D7115" w:rsidRPr="0087610D">
        <w:rPr>
          <w:rFonts w:ascii="Times New Roman" w:hAnsi="Times New Roman"/>
          <w:sz w:val="24"/>
          <w:szCs w:val="24"/>
        </w:rPr>
        <w:t>заявке</w:t>
      </w:r>
      <w:r w:rsidR="000D7115">
        <w:rPr>
          <w:rFonts w:ascii="Times New Roman" w:hAnsi="Times New Roman"/>
          <w:sz w:val="24"/>
          <w:szCs w:val="24"/>
        </w:rPr>
        <w:t xml:space="preserve"> при наличии не менее 1 пункта выдачи.</w:t>
      </w:r>
    </w:p>
    <w:p w:rsidR="00280206" w:rsidRPr="0087610D" w:rsidRDefault="000D7115" w:rsidP="00AF1ED6">
      <w:pPr>
        <w:pStyle w:val="afff8"/>
        <w:ind w:firstLine="567"/>
        <w:jc w:val="both"/>
        <w:rPr>
          <w:rFonts w:ascii="Times New Roman" w:hAnsi="Times New Roman"/>
          <w:sz w:val="24"/>
          <w:szCs w:val="24"/>
        </w:rPr>
      </w:pPr>
      <w:r>
        <w:rPr>
          <w:rFonts w:ascii="Times New Roman" w:hAnsi="Times New Roman"/>
          <w:sz w:val="24"/>
          <w:szCs w:val="24"/>
        </w:rPr>
        <w:t xml:space="preserve"> </w:t>
      </w:r>
    </w:p>
    <w:p w:rsidR="000756C6" w:rsidRPr="0087610D" w:rsidRDefault="000756C6" w:rsidP="00AF1ED6">
      <w:pPr>
        <w:widowControl w:val="0"/>
        <w:snapToGrid w:val="0"/>
        <w:ind w:firstLine="567"/>
        <w:contextualSpacing/>
        <w:jc w:val="both"/>
        <w:rPr>
          <w:szCs w:val="24"/>
        </w:rPr>
      </w:pPr>
      <w:r w:rsidRPr="0087610D">
        <w:rPr>
          <w:w w:val="105"/>
          <w:szCs w:val="24"/>
        </w:rPr>
        <w:t>Непредставление</w:t>
      </w:r>
      <w:r w:rsidRPr="0087610D">
        <w:rPr>
          <w:szCs w:val="24"/>
        </w:rPr>
        <w:t xml:space="preserve"> в составе заявки на участие в закупке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закупке.</w:t>
      </w:r>
    </w:p>
    <w:p w:rsidR="000756C6" w:rsidRPr="0087610D" w:rsidRDefault="000756C6" w:rsidP="00AF1ED6">
      <w:pPr>
        <w:pStyle w:val="afff8"/>
        <w:ind w:firstLine="567"/>
        <w:jc w:val="both"/>
        <w:rPr>
          <w:rFonts w:ascii="Times New Roman" w:hAnsi="Times New Roman"/>
          <w:b/>
          <w:sz w:val="24"/>
          <w:szCs w:val="24"/>
        </w:rPr>
      </w:pPr>
    </w:p>
    <w:p w:rsidR="000756C6" w:rsidRPr="0087610D" w:rsidRDefault="000756C6" w:rsidP="00AF1ED6">
      <w:pPr>
        <w:pStyle w:val="afff8"/>
        <w:ind w:firstLine="567"/>
        <w:jc w:val="both"/>
        <w:rPr>
          <w:rFonts w:ascii="Times New Roman" w:hAnsi="Times New Roman"/>
          <w:sz w:val="24"/>
          <w:szCs w:val="24"/>
        </w:rPr>
      </w:pPr>
      <w:r w:rsidRPr="0087610D">
        <w:rPr>
          <w:rFonts w:ascii="Times New Roman" w:hAnsi="Times New Roman"/>
          <w:b/>
          <w:sz w:val="24"/>
          <w:szCs w:val="24"/>
        </w:rPr>
        <w:t>2.2.</w:t>
      </w:r>
      <w:r w:rsidRPr="0087610D">
        <w:rPr>
          <w:rFonts w:ascii="Times New Roman" w:hAnsi="Times New Roman"/>
          <w:sz w:val="24"/>
          <w:szCs w:val="24"/>
        </w:rPr>
        <w:t xml:space="preserve"> </w:t>
      </w:r>
      <w:r w:rsidR="005D51B0" w:rsidRPr="0087610D">
        <w:rPr>
          <w:rFonts w:ascii="Times New Roman" w:hAnsi="Times New Roman"/>
          <w:b/>
          <w:sz w:val="24"/>
          <w:szCs w:val="24"/>
        </w:rPr>
        <w:t>Наличие у участников закупки опыта поставки товара, выполнения работы, оказания услуги, связанного с предметом контракта</w:t>
      </w:r>
      <w:r w:rsidRPr="0087610D">
        <w:rPr>
          <w:rFonts w:ascii="Times New Roman" w:hAnsi="Times New Roman"/>
          <w:b/>
          <w:sz w:val="24"/>
          <w:szCs w:val="24"/>
        </w:rPr>
        <w:t>.</w:t>
      </w:r>
    </w:p>
    <w:p w:rsidR="000756C6" w:rsidRPr="0087610D" w:rsidRDefault="000756C6" w:rsidP="00AF1ED6">
      <w:pPr>
        <w:pStyle w:val="afff8"/>
        <w:ind w:firstLine="567"/>
        <w:jc w:val="both"/>
        <w:rPr>
          <w:rFonts w:ascii="Times New Roman" w:hAnsi="Times New Roman"/>
          <w:sz w:val="24"/>
          <w:szCs w:val="24"/>
        </w:rPr>
      </w:pPr>
      <w:r w:rsidRPr="0087610D">
        <w:rPr>
          <w:rFonts w:ascii="Times New Roman" w:hAnsi="Times New Roman"/>
          <w:sz w:val="24"/>
          <w:szCs w:val="24"/>
        </w:rPr>
        <w:t>Оценка показателя (баллы): 100 баллов.</w:t>
      </w:r>
    </w:p>
    <w:p w:rsidR="000756C6" w:rsidRPr="0087610D" w:rsidRDefault="000756C6" w:rsidP="00AF1ED6">
      <w:pPr>
        <w:pStyle w:val="afff8"/>
        <w:ind w:firstLine="567"/>
        <w:jc w:val="both"/>
        <w:rPr>
          <w:rFonts w:ascii="Times New Roman" w:hAnsi="Times New Roman"/>
          <w:sz w:val="24"/>
          <w:szCs w:val="24"/>
        </w:rPr>
      </w:pPr>
      <w:r w:rsidRPr="0087610D">
        <w:rPr>
          <w:rFonts w:ascii="Times New Roman" w:hAnsi="Times New Roman"/>
          <w:sz w:val="24"/>
          <w:szCs w:val="24"/>
        </w:rPr>
        <w:t xml:space="preserve">Значимость показателя: </w:t>
      </w:r>
      <w:r w:rsidR="008609B3">
        <w:rPr>
          <w:rFonts w:ascii="Times New Roman" w:hAnsi="Times New Roman"/>
          <w:sz w:val="24"/>
          <w:szCs w:val="24"/>
        </w:rPr>
        <w:t>5</w:t>
      </w:r>
      <w:r w:rsidRPr="0087610D">
        <w:rPr>
          <w:rFonts w:ascii="Times New Roman" w:hAnsi="Times New Roman"/>
          <w:sz w:val="24"/>
          <w:szCs w:val="24"/>
        </w:rPr>
        <w:t>0%.</w:t>
      </w:r>
    </w:p>
    <w:p w:rsidR="000A4304" w:rsidRPr="0087610D" w:rsidRDefault="000A4304" w:rsidP="00AF1ED6">
      <w:pPr>
        <w:pStyle w:val="afff8"/>
        <w:ind w:firstLine="567"/>
        <w:jc w:val="both"/>
        <w:rPr>
          <w:rFonts w:ascii="Times New Roman" w:hAnsi="Times New Roman"/>
          <w:sz w:val="24"/>
          <w:szCs w:val="24"/>
        </w:rPr>
      </w:pPr>
    </w:p>
    <w:p w:rsidR="000756C6" w:rsidRPr="0087610D" w:rsidRDefault="000756C6" w:rsidP="00AF1ED6">
      <w:pPr>
        <w:pStyle w:val="afff8"/>
        <w:ind w:firstLine="567"/>
        <w:jc w:val="both"/>
        <w:rPr>
          <w:rFonts w:ascii="Times New Roman" w:hAnsi="Times New Roman"/>
          <w:sz w:val="24"/>
          <w:szCs w:val="24"/>
        </w:rPr>
      </w:pPr>
      <w:r w:rsidRPr="0087610D">
        <w:rPr>
          <w:rFonts w:ascii="Times New Roman" w:hAnsi="Times New Roman"/>
          <w:sz w:val="24"/>
          <w:szCs w:val="24"/>
        </w:rPr>
        <w:t>По данному показателю оценивается общая цена исполненных участником закупки догово</w:t>
      </w:r>
      <w:r w:rsidR="000A4304" w:rsidRPr="0087610D">
        <w:rPr>
          <w:rFonts w:ascii="Times New Roman" w:hAnsi="Times New Roman"/>
          <w:sz w:val="24"/>
          <w:szCs w:val="24"/>
        </w:rPr>
        <w:t>ров.</w:t>
      </w:r>
    </w:p>
    <w:p w:rsidR="000A4304" w:rsidRPr="0087610D" w:rsidRDefault="000A4304" w:rsidP="00AF1ED6">
      <w:pPr>
        <w:pStyle w:val="afff8"/>
        <w:ind w:firstLine="567"/>
        <w:jc w:val="both"/>
        <w:rPr>
          <w:rFonts w:ascii="Times New Roman" w:hAnsi="Times New Roman"/>
          <w:sz w:val="24"/>
          <w:szCs w:val="24"/>
        </w:rPr>
      </w:pPr>
    </w:p>
    <w:p w:rsidR="000A4304" w:rsidRPr="0087610D" w:rsidRDefault="000A4304" w:rsidP="00AF1ED6">
      <w:pPr>
        <w:pStyle w:val="afff8"/>
        <w:ind w:firstLine="567"/>
        <w:jc w:val="both"/>
        <w:rPr>
          <w:rFonts w:ascii="Times New Roman" w:hAnsi="Times New Roman"/>
          <w:sz w:val="24"/>
          <w:szCs w:val="24"/>
        </w:rPr>
      </w:pPr>
      <w:r w:rsidRPr="0087610D">
        <w:rPr>
          <w:rFonts w:ascii="Times New Roman" w:hAnsi="Times New Roman"/>
          <w:sz w:val="24"/>
          <w:szCs w:val="24"/>
        </w:rPr>
        <w:t>Показатель оценки, детализирующий показатель оценки:</w:t>
      </w:r>
    </w:p>
    <w:p w:rsidR="000A4304" w:rsidRPr="0087610D" w:rsidRDefault="00847CA9" w:rsidP="00AF1ED6">
      <w:pPr>
        <w:pStyle w:val="afff8"/>
        <w:numPr>
          <w:ilvl w:val="0"/>
          <w:numId w:val="5"/>
        </w:numPr>
        <w:ind w:left="0" w:firstLine="567"/>
        <w:jc w:val="both"/>
        <w:rPr>
          <w:rFonts w:ascii="Times New Roman" w:hAnsi="Times New Roman"/>
          <w:sz w:val="24"/>
          <w:szCs w:val="24"/>
        </w:rPr>
      </w:pPr>
      <w:r w:rsidRPr="0087610D">
        <w:rPr>
          <w:rFonts w:ascii="Times New Roman" w:hAnsi="Times New Roman"/>
          <w:sz w:val="24"/>
          <w:szCs w:val="24"/>
        </w:rPr>
        <w:t>общая цена исполненных участником закупки договоров – 100%.</w:t>
      </w:r>
    </w:p>
    <w:p w:rsidR="001671E2" w:rsidRPr="0087610D" w:rsidRDefault="001671E2" w:rsidP="00AF1ED6">
      <w:pPr>
        <w:pStyle w:val="afff8"/>
        <w:ind w:firstLine="567"/>
        <w:jc w:val="both"/>
        <w:rPr>
          <w:rFonts w:ascii="Times New Roman" w:hAnsi="Times New Roman"/>
          <w:sz w:val="24"/>
          <w:szCs w:val="24"/>
        </w:rPr>
      </w:pPr>
    </w:p>
    <w:p w:rsidR="006C6AB5" w:rsidRPr="00A52F58" w:rsidRDefault="00560EF3" w:rsidP="006C6AB5">
      <w:pPr>
        <w:keepNext/>
        <w:keepLines/>
        <w:jc w:val="both"/>
        <w:rPr>
          <w:b/>
          <w:bCs/>
        </w:rPr>
      </w:pPr>
      <w:r w:rsidRPr="0087610D">
        <w:rPr>
          <w:szCs w:val="24"/>
          <w:lang w:eastAsia="en-US"/>
        </w:rPr>
        <w:t xml:space="preserve">Предмет договора (контракта), сопоставимый с предметом договора (контракта), заключаемого по результатам определения исполнителя – договоры (контракты) на выполнение работ </w:t>
      </w:r>
      <w:r w:rsidR="00533977">
        <w:rPr>
          <w:szCs w:val="24"/>
          <w:lang w:eastAsia="en-US"/>
        </w:rPr>
        <w:t xml:space="preserve"> </w:t>
      </w:r>
      <w:r w:rsidR="006C6AB5" w:rsidRPr="006C6AB5">
        <w:rPr>
          <w:szCs w:val="24"/>
        </w:rPr>
        <w:t>по</w:t>
      </w:r>
      <w:r w:rsidR="006C6AB5" w:rsidRPr="006C6AB5">
        <w:rPr>
          <w:bCs/>
        </w:rPr>
        <w:t xml:space="preserve"> обеспечению инвалидов протезами</w:t>
      </w:r>
      <w:r w:rsidR="006C6AB5">
        <w:rPr>
          <w:b/>
          <w:bCs/>
        </w:rPr>
        <w:t xml:space="preserve"> (протезы </w:t>
      </w:r>
      <w:r w:rsidR="003A6AFA">
        <w:rPr>
          <w:b/>
          <w:bCs/>
        </w:rPr>
        <w:t>нижних конечностей</w:t>
      </w:r>
      <w:r w:rsidR="006C6AB5">
        <w:rPr>
          <w:b/>
          <w:bCs/>
        </w:rPr>
        <w:t>).</w:t>
      </w:r>
    </w:p>
    <w:p w:rsidR="00560EF3" w:rsidRPr="0087610D" w:rsidRDefault="00560EF3" w:rsidP="00AF1ED6">
      <w:pPr>
        <w:widowControl w:val="0"/>
        <w:ind w:firstLine="567"/>
        <w:jc w:val="both"/>
        <w:rPr>
          <w:szCs w:val="24"/>
          <w:lang w:eastAsia="en-US"/>
        </w:rPr>
      </w:pPr>
      <w:r w:rsidRPr="0087610D">
        <w:rPr>
          <w:szCs w:val="24"/>
          <w:lang w:eastAsia="en-US"/>
        </w:rPr>
        <w:t>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(договора):</w:t>
      </w:r>
    </w:p>
    <w:p w:rsidR="00560EF3" w:rsidRPr="0087610D" w:rsidRDefault="00560EF3" w:rsidP="00AF1ED6">
      <w:pPr>
        <w:pStyle w:val="a3"/>
        <w:widowControl w:val="0"/>
        <w:numPr>
          <w:ilvl w:val="0"/>
          <w:numId w:val="7"/>
        </w:numPr>
        <w:spacing w:after="0" w:line="240" w:lineRule="auto"/>
        <w:ind w:left="0" w:firstLine="567"/>
        <w:jc w:val="both"/>
        <w:rPr>
          <w:rFonts w:ascii="Times New Roman" w:hAnsi="Times New Roman"/>
          <w:sz w:val="24"/>
          <w:szCs w:val="24"/>
          <w:lang w:eastAsia="en-US"/>
        </w:rPr>
      </w:pPr>
      <w:r w:rsidRPr="0087610D">
        <w:rPr>
          <w:rFonts w:ascii="Times New Roman" w:hAnsi="Times New Roman"/>
          <w:sz w:val="24"/>
          <w:szCs w:val="24"/>
          <w:lang w:eastAsia="en-US"/>
        </w:rPr>
        <w:t>исполненный договор (договоры), контракт (контракты), сопоставимые с предметом заключаемого контракта;</w:t>
      </w:r>
    </w:p>
    <w:p w:rsidR="00560EF3" w:rsidRPr="0087610D" w:rsidRDefault="00560EF3" w:rsidP="00AF1ED6">
      <w:pPr>
        <w:pStyle w:val="a3"/>
        <w:widowControl w:val="0"/>
        <w:numPr>
          <w:ilvl w:val="0"/>
          <w:numId w:val="7"/>
        </w:numPr>
        <w:spacing w:after="0" w:line="240" w:lineRule="auto"/>
        <w:ind w:left="0" w:firstLine="567"/>
        <w:jc w:val="both"/>
        <w:rPr>
          <w:rFonts w:ascii="Times New Roman" w:hAnsi="Times New Roman"/>
          <w:sz w:val="24"/>
          <w:szCs w:val="24"/>
          <w:lang w:eastAsia="en-US"/>
        </w:rPr>
      </w:pPr>
      <w:r w:rsidRPr="0087610D">
        <w:rPr>
          <w:rFonts w:ascii="Times New Roman" w:hAnsi="Times New Roman"/>
          <w:sz w:val="24"/>
          <w:szCs w:val="24"/>
          <w:lang w:eastAsia="en-US"/>
        </w:rPr>
        <w:t xml:space="preserve"> акт (акты) приемки выполненных работ, составленные при исполнении такого договора (договоров), контракта (контрактов)</w:t>
      </w:r>
      <w:r w:rsidRPr="0087610D">
        <w:rPr>
          <w:rStyle w:val="affff6"/>
          <w:rFonts w:ascii="Times New Roman" w:hAnsi="Times New Roman"/>
          <w:sz w:val="24"/>
          <w:szCs w:val="24"/>
          <w:lang w:eastAsia="en-US"/>
        </w:rPr>
        <w:footnoteReference w:id="1"/>
      </w:r>
    </w:p>
    <w:p w:rsidR="00560EF3" w:rsidRPr="0087610D" w:rsidRDefault="007D71FD" w:rsidP="00AF1ED6">
      <w:pPr>
        <w:widowControl w:val="0"/>
        <w:ind w:firstLine="567"/>
        <w:jc w:val="both"/>
        <w:rPr>
          <w:szCs w:val="24"/>
          <w:lang w:eastAsia="en-US"/>
        </w:rPr>
      </w:pPr>
      <w:r w:rsidRPr="0087610D">
        <w:rPr>
          <w:szCs w:val="24"/>
          <w:lang w:eastAsia="en-US"/>
        </w:rPr>
        <w:t xml:space="preserve">К оценке принимаются исключительно исполненные договоры (контракты), при </w:t>
      </w:r>
      <w:proofErr w:type="gramStart"/>
      <w:r w:rsidRPr="0087610D">
        <w:rPr>
          <w:szCs w:val="24"/>
          <w:lang w:eastAsia="en-US"/>
        </w:rPr>
        <w:t>исполнении</w:t>
      </w:r>
      <w:proofErr w:type="gramEnd"/>
      <w:r w:rsidRPr="0087610D">
        <w:rPr>
          <w:szCs w:val="24"/>
          <w:lang w:eastAsia="en-US"/>
        </w:rPr>
        <w:t xml:space="preserve"> которого исполнителем исполнены требования об уплате неустоек (штрафов, пеней) (в случае начисления неустоек).</w:t>
      </w:r>
    </w:p>
    <w:p w:rsidR="00560EF3" w:rsidRPr="0087610D" w:rsidRDefault="00560EF3" w:rsidP="00AF1ED6">
      <w:pPr>
        <w:widowControl w:val="0"/>
        <w:ind w:firstLine="567"/>
        <w:jc w:val="both"/>
        <w:rPr>
          <w:szCs w:val="24"/>
        </w:rPr>
      </w:pPr>
    </w:p>
    <w:p w:rsidR="00560EF3" w:rsidRPr="0087610D" w:rsidRDefault="007D71FD" w:rsidP="00AF1ED6">
      <w:pPr>
        <w:widowControl w:val="0"/>
        <w:ind w:firstLine="567"/>
        <w:jc w:val="both"/>
        <w:rPr>
          <w:szCs w:val="24"/>
        </w:rPr>
      </w:pPr>
      <w:r w:rsidRPr="0087610D">
        <w:rPr>
          <w:szCs w:val="24"/>
        </w:rPr>
        <w:t>П</w:t>
      </w:r>
      <w:r w:rsidR="00560EF3" w:rsidRPr="0087610D">
        <w:rPr>
          <w:szCs w:val="24"/>
        </w:rPr>
        <w:t>оследний акт, составленный при исполнении договора</w:t>
      </w:r>
      <w:r w:rsidRPr="0087610D">
        <w:rPr>
          <w:szCs w:val="24"/>
        </w:rPr>
        <w:t xml:space="preserve"> (контракта)</w:t>
      </w:r>
      <w:r w:rsidR="00560EF3" w:rsidRPr="0087610D">
        <w:rPr>
          <w:szCs w:val="24"/>
        </w:rPr>
        <w:t xml:space="preserve"> должен быть подписан не ранее чем за 5 лет до дат</w:t>
      </w:r>
      <w:r w:rsidR="00C74671" w:rsidRPr="0087610D">
        <w:rPr>
          <w:szCs w:val="24"/>
        </w:rPr>
        <w:t>ы окончания срока подачи заявок.</w:t>
      </w:r>
    </w:p>
    <w:p w:rsidR="00560EF3" w:rsidRPr="0087610D" w:rsidRDefault="00C74671" w:rsidP="00AF1ED6">
      <w:pPr>
        <w:widowControl w:val="0"/>
        <w:ind w:firstLine="567"/>
        <w:jc w:val="both"/>
        <w:rPr>
          <w:szCs w:val="24"/>
        </w:rPr>
      </w:pPr>
      <w:r w:rsidRPr="0087610D">
        <w:rPr>
          <w:szCs w:val="24"/>
        </w:rPr>
        <w:t>К</w:t>
      </w:r>
      <w:r w:rsidR="00560EF3" w:rsidRPr="0087610D">
        <w:rPr>
          <w:szCs w:val="24"/>
        </w:rPr>
        <w:t xml:space="preserve">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законом</w:t>
      </w:r>
      <w:r w:rsidRPr="0087610D">
        <w:rPr>
          <w:szCs w:val="24"/>
        </w:rPr>
        <w:t xml:space="preserve"> № 44-ФЗ.</w:t>
      </w:r>
    </w:p>
    <w:p w:rsidR="00560EF3" w:rsidRPr="0087610D" w:rsidRDefault="00C74671" w:rsidP="00AF1ED6">
      <w:pPr>
        <w:pStyle w:val="afff8"/>
        <w:ind w:firstLine="567"/>
        <w:jc w:val="both"/>
        <w:rPr>
          <w:rFonts w:ascii="Times New Roman" w:hAnsi="Times New Roman"/>
          <w:sz w:val="24"/>
          <w:szCs w:val="24"/>
        </w:rPr>
      </w:pPr>
      <w:r w:rsidRPr="0087610D">
        <w:rPr>
          <w:rFonts w:ascii="Times New Roman" w:hAnsi="Times New Roman"/>
          <w:sz w:val="24"/>
          <w:szCs w:val="24"/>
        </w:rPr>
        <w:t>К</w:t>
      </w:r>
      <w:r w:rsidR="008458E8" w:rsidRPr="0087610D">
        <w:rPr>
          <w:rFonts w:ascii="Times New Roman" w:hAnsi="Times New Roman"/>
          <w:sz w:val="24"/>
          <w:szCs w:val="24"/>
        </w:rPr>
        <w:t xml:space="preserve"> оценке принимаются документы</w:t>
      </w:r>
      <w:r w:rsidRPr="0087610D">
        <w:rPr>
          <w:rFonts w:ascii="Times New Roman" w:hAnsi="Times New Roman"/>
          <w:sz w:val="24"/>
          <w:szCs w:val="24"/>
        </w:rPr>
        <w:t xml:space="preserve"> в случае их представления в заявке в полном объеме и со всеми приложениями. </w:t>
      </w:r>
      <w:r w:rsidR="008458E8" w:rsidRPr="0087610D">
        <w:rPr>
          <w:rFonts w:ascii="Times New Roman" w:hAnsi="Times New Roman"/>
          <w:sz w:val="24"/>
          <w:szCs w:val="24"/>
        </w:rPr>
        <w:t>Д</w:t>
      </w:r>
      <w:r w:rsidRPr="0087610D">
        <w:rPr>
          <w:rFonts w:ascii="Times New Roman" w:hAnsi="Times New Roman"/>
          <w:sz w:val="24"/>
          <w:szCs w:val="24"/>
        </w:rPr>
        <w:t>окументы направляются в форме электронных документов или в форме электронных образов бумажных документов</w:t>
      </w:r>
      <w:r w:rsidR="008458E8" w:rsidRPr="0087610D">
        <w:rPr>
          <w:rFonts w:ascii="Times New Roman" w:hAnsi="Times New Roman"/>
          <w:sz w:val="24"/>
          <w:szCs w:val="24"/>
        </w:rPr>
        <w:t>.</w:t>
      </w:r>
    </w:p>
    <w:p w:rsidR="000756C6" w:rsidRPr="0087610D" w:rsidRDefault="00B762B6" w:rsidP="00AF1ED6">
      <w:pPr>
        <w:pStyle w:val="afff8"/>
        <w:ind w:firstLine="567"/>
        <w:jc w:val="both"/>
        <w:rPr>
          <w:rFonts w:ascii="Times New Roman" w:hAnsi="Times New Roman"/>
          <w:sz w:val="24"/>
          <w:szCs w:val="24"/>
        </w:rPr>
      </w:pPr>
      <w:r w:rsidRPr="0087610D">
        <w:rPr>
          <w:rFonts w:ascii="Times New Roman" w:hAnsi="Times New Roman"/>
          <w:sz w:val="24"/>
          <w:szCs w:val="24"/>
        </w:rPr>
        <w:t>Значение количества баллов по детализирующему показател</w:t>
      </w:r>
      <w:proofErr w:type="gramStart"/>
      <w:r w:rsidRPr="0087610D">
        <w:rPr>
          <w:rFonts w:ascii="Times New Roman" w:hAnsi="Times New Roman"/>
          <w:sz w:val="24"/>
          <w:szCs w:val="24"/>
        </w:rPr>
        <w:t>ю(</w:t>
      </w:r>
      <w:proofErr w:type="spellStart"/>
      <w:proofErr w:type="gramEnd"/>
      <w:r w:rsidRPr="0087610D">
        <w:rPr>
          <w:rFonts w:ascii="Times New Roman" w:hAnsi="Times New Roman"/>
          <w:sz w:val="24"/>
          <w:szCs w:val="24"/>
        </w:rPr>
        <w:t>БХi</w:t>
      </w:r>
      <w:proofErr w:type="spellEnd"/>
      <w:r w:rsidRPr="0087610D">
        <w:rPr>
          <w:rFonts w:ascii="Times New Roman" w:hAnsi="Times New Roman"/>
          <w:sz w:val="24"/>
          <w:szCs w:val="24"/>
        </w:rPr>
        <w:t>), присваиваемых заявке, подлежащей оценке рассчитывается следующим образом:</w:t>
      </w:r>
    </w:p>
    <w:p w:rsidR="000756C6" w:rsidRDefault="000756C6" w:rsidP="00AF1ED6">
      <w:pPr>
        <w:widowControl w:val="0"/>
        <w:ind w:firstLine="567"/>
        <w:jc w:val="both"/>
        <w:rPr>
          <w:szCs w:val="24"/>
        </w:rPr>
      </w:pPr>
    </w:p>
    <w:p w:rsidR="002624BA" w:rsidRDefault="002624BA" w:rsidP="00AF1ED6">
      <w:pPr>
        <w:widowControl w:val="0"/>
        <w:ind w:firstLine="567"/>
        <w:jc w:val="both"/>
        <w:rPr>
          <w:szCs w:val="24"/>
        </w:rPr>
      </w:pPr>
      <w:r>
        <w:rPr>
          <w:szCs w:val="24"/>
        </w:rPr>
        <w:t>БХ</w:t>
      </w:r>
      <w:proofErr w:type="spellStart"/>
      <w:proofErr w:type="gramStart"/>
      <w:r w:rsidRPr="002624BA">
        <w:rPr>
          <w:sz w:val="18"/>
          <w:szCs w:val="24"/>
          <w:lang w:val="en-US"/>
        </w:rPr>
        <w:t>i</w:t>
      </w:r>
      <w:proofErr w:type="spellEnd"/>
      <w:proofErr w:type="gramEnd"/>
      <w:r w:rsidRPr="002624BA">
        <w:rPr>
          <w:szCs w:val="24"/>
        </w:rPr>
        <w:t xml:space="preserve"> = (</w:t>
      </w:r>
      <w:r>
        <w:rPr>
          <w:szCs w:val="24"/>
          <w:lang w:val="en-US"/>
        </w:rPr>
        <w:t>X</w:t>
      </w:r>
      <w:r w:rsidRPr="002624BA">
        <w:rPr>
          <w:sz w:val="18"/>
          <w:szCs w:val="24"/>
          <w:lang w:val="en-US"/>
        </w:rPr>
        <w:t>i</w:t>
      </w:r>
      <w:r w:rsidRPr="002624BA">
        <w:rPr>
          <w:szCs w:val="24"/>
        </w:rPr>
        <w:t xml:space="preserve"> – </w:t>
      </w:r>
      <w:proofErr w:type="spellStart"/>
      <w:r>
        <w:rPr>
          <w:szCs w:val="24"/>
          <w:lang w:val="en-US"/>
        </w:rPr>
        <w:t>X</w:t>
      </w:r>
      <w:r w:rsidRPr="002624BA">
        <w:rPr>
          <w:sz w:val="18"/>
          <w:szCs w:val="24"/>
          <w:lang w:val="en-US"/>
        </w:rPr>
        <w:t>min</w:t>
      </w:r>
      <w:proofErr w:type="spellEnd"/>
      <w:r w:rsidRPr="002624BA">
        <w:rPr>
          <w:szCs w:val="24"/>
        </w:rPr>
        <w:t xml:space="preserve">) </w:t>
      </w:r>
      <w:r>
        <w:rPr>
          <w:szCs w:val="24"/>
          <w:lang w:val="en-US"/>
        </w:rPr>
        <w:t>x</w:t>
      </w:r>
      <w:r w:rsidRPr="002624BA">
        <w:rPr>
          <w:szCs w:val="24"/>
        </w:rPr>
        <w:t xml:space="preserve"> (100 / (</w:t>
      </w:r>
      <w:proofErr w:type="spellStart"/>
      <w:r>
        <w:rPr>
          <w:szCs w:val="24"/>
          <w:lang w:val="en-US"/>
        </w:rPr>
        <w:t>X</w:t>
      </w:r>
      <w:r w:rsidRPr="002624BA">
        <w:rPr>
          <w:sz w:val="18"/>
          <w:szCs w:val="24"/>
          <w:lang w:val="en-US"/>
        </w:rPr>
        <w:t>max</w:t>
      </w:r>
      <w:proofErr w:type="spellEnd"/>
      <w:r w:rsidRPr="002624BA">
        <w:rPr>
          <w:szCs w:val="24"/>
        </w:rPr>
        <w:t xml:space="preserve"> </w:t>
      </w:r>
      <w:r>
        <w:rPr>
          <w:szCs w:val="24"/>
        </w:rPr>
        <w:t>–</w:t>
      </w:r>
      <w:r w:rsidRPr="002624BA">
        <w:rPr>
          <w:szCs w:val="24"/>
        </w:rPr>
        <w:t xml:space="preserve"> </w:t>
      </w:r>
      <w:proofErr w:type="spellStart"/>
      <w:r>
        <w:rPr>
          <w:szCs w:val="24"/>
          <w:lang w:val="en-US"/>
        </w:rPr>
        <w:t>X</w:t>
      </w:r>
      <w:r w:rsidRPr="002624BA">
        <w:rPr>
          <w:sz w:val="18"/>
          <w:szCs w:val="24"/>
          <w:lang w:val="en-US"/>
        </w:rPr>
        <w:t>min</w:t>
      </w:r>
      <w:proofErr w:type="spellEnd"/>
      <w:r w:rsidRPr="002624BA">
        <w:rPr>
          <w:szCs w:val="24"/>
        </w:rPr>
        <w:t>));</w:t>
      </w:r>
    </w:p>
    <w:p w:rsidR="002624BA" w:rsidRPr="002624BA" w:rsidRDefault="002624BA" w:rsidP="00AF1ED6">
      <w:pPr>
        <w:widowControl w:val="0"/>
        <w:ind w:firstLine="567"/>
        <w:jc w:val="both"/>
        <w:rPr>
          <w:szCs w:val="24"/>
        </w:rPr>
      </w:pPr>
    </w:p>
    <w:p w:rsidR="000756C6" w:rsidRPr="0087610D" w:rsidRDefault="000756C6" w:rsidP="00AF1ED6">
      <w:pPr>
        <w:ind w:firstLine="567"/>
        <w:jc w:val="both"/>
        <w:rPr>
          <w:szCs w:val="24"/>
        </w:rPr>
      </w:pPr>
      <w:r w:rsidRPr="0087610D">
        <w:rPr>
          <w:szCs w:val="24"/>
        </w:rPr>
        <w:t>где:</w:t>
      </w:r>
    </w:p>
    <w:p w:rsidR="000756C6" w:rsidRPr="0087610D" w:rsidRDefault="000756C6" w:rsidP="00AF1ED6">
      <w:pPr>
        <w:ind w:firstLine="567"/>
        <w:jc w:val="both"/>
        <w:rPr>
          <w:szCs w:val="24"/>
        </w:rPr>
      </w:pPr>
      <w:proofErr w:type="spellStart"/>
      <w:proofErr w:type="gramStart"/>
      <w:r w:rsidRPr="0087610D">
        <w:rPr>
          <w:szCs w:val="24"/>
        </w:rPr>
        <w:t>Х</w:t>
      </w:r>
      <w:proofErr w:type="gramEnd"/>
      <w:r w:rsidRPr="0087610D">
        <w:rPr>
          <w:szCs w:val="24"/>
          <w:vertAlign w:val="subscript"/>
        </w:rPr>
        <w:t>max</w:t>
      </w:r>
      <w:proofErr w:type="spellEnd"/>
      <w:r w:rsidRPr="0087610D">
        <w:rPr>
          <w:szCs w:val="24"/>
        </w:rPr>
        <w:t xml:space="preserve"> - максимальное значение, содержащееся в заявках (частях заявок), подлежащих в соответствии с Законом о контрактной системе оценке по критерию оценки "</w:t>
      </w:r>
      <w:bookmarkStart w:id="2" w:name="_Hlk92815433"/>
      <w:r w:rsidRPr="0087610D">
        <w:rPr>
          <w:szCs w:val="24"/>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bookmarkEnd w:id="2"/>
      <w:r w:rsidRPr="0087610D">
        <w:rPr>
          <w:szCs w:val="24"/>
        </w:rPr>
        <w:t>;</w:t>
      </w:r>
    </w:p>
    <w:p w:rsidR="000756C6" w:rsidRPr="0087610D" w:rsidRDefault="000756C6" w:rsidP="00AF1ED6">
      <w:pPr>
        <w:ind w:firstLine="567"/>
        <w:jc w:val="both"/>
        <w:rPr>
          <w:szCs w:val="24"/>
        </w:rPr>
      </w:pPr>
      <w:proofErr w:type="spellStart"/>
      <w:proofErr w:type="gramStart"/>
      <w:r w:rsidRPr="0087610D">
        <w:rPr>
          <w:szCs w:val="24"/>
        </w:rPr>
        <w:t>Х</w:t>
      </w:r>
      <w:r w:rsidRPr="0087610D">
        <w:rPr>
          <w:szCs w:val="24"/>
          <w:vertAlign w:val="subscript"/>
        </w:rPr>
        <w:t>i</w:t>
      </w:r>
      <w:proofErr w:type="spellEnd"/>
      <w:r w:rsidRPr="0087610D">
        <w:rPr>
          <w:szCs w:val="24"/>
        </w:rPr>
        <w:t xml:space="preserve"> - значение, содержащееся в предложении участника закупки, заявка (часть заявки) которого подлежит в соответствии с Законом о контрактной системе оценке 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w:t>
      </w:r>
      <w:proofErr w:type="gramEnd"/>
      <w:r w:rsidRPr="0087610D">
        <w:rPr>
          <w:szCs w:val="24"/>
        </w:rPr>
        <w:t xml:space="preserve"> уровня квалификации";</w:t>
      </w:r>
    </w:p>
    <w:p w:rsidR="000756C6" w:rsidRPr="0087610D" w:rsidRDefault="000756C6" w:rsidP="00AF1ED6">
      <w:pPr>
        <w:ind w:firstLine="567"/>
        <w:jc w:val="both"/>
        <w:rPr>
          <w:szCs w:val="24"/>
        </w:rPr>
      </w:pPr>
      <w:proofErr w:type="spellStart"/>
      <w:proofErr w:type="gramStart"/>
      <w:r w:rsidRPr="0087610D">
        <w:rPr>
          <w:szCs w:val="24"/>
        </w:rPr>
        <w:t>Х</w:t>
      </w:r>
      <w:proofErr w:type="gramEnd"/>
      <w:r w:rsidRPr="0087610D">
        <w:rPr>
          <w:szCs w:val="24"/>
          <w:vertAlign w:val="subscript"/>
        </w:rPr>
        <w:t>min</w:t>
      </w:r>
      <w:proofErr w:type="spellEnd"/>
      <w:r w:rsidRPr="0087610D">
        <w:rPr>
          <w:szCs w:val="24"/>
        </w:rPr>
        <w:t xml:space="preserve"> - минимальное значение, содержащееся в заявках (частях заявок), подлежащих в соответствии с Законом о контрактной системе оценке 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0756C6" w:rsidRPr="0087610D" w:rsidRDefault="000756C6" w:rsidP="00AF1ED6">
      <w:pPr>
        <w:widowControl w:val="0"/>
        <w:ind w:firstLine="567"/>
        <w:jc w:val="both"/>
        <w:rPr>
          <w:szCs w:val="24"/>
        </w:rPr>
      </w:pPr>
    </w:p>
    <w:p w:rsidR="000756C6" w:rsidRPr="0087610D" w:rsidRDefault="000756C6" w:rsidP="00AF1ED6">
      <w:pPr>
        <w:widowControl w:val="0"/>
        <w:snapToGrid w:val="0"/>
        <w:ind w:firstLine="567"/>
        <w:contextualSpacing/>
        <w:jc w:val="both"/>
        <w:rPr>
          <w:szCs w:val="24"/>
        </w:rPr>
      </w:pPr>
      <w:r w:rsidRPr="0087610D">
        <w:rPr>
          <w:w w:val="105"/>
          <w:szCs w:val="24"/>
        </w:rPr>
        <w:t>Непредставление</w:t>
      </w:r>
      <w:r w:rsidRPr="0087610D">
        <w:rPr>
          <w:szCs w:val="24"/>
        </w:rPr>
        <w:t xml:space="preserve"> в составе заявки на участие в закупке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закупке.</w:t>
      </w:r>
    </w:p>
    <w:p w:rsidR="000756C6" w:rsidRPr="0087610D" w:rsidRDefault="000756C6" w:rsidP="00AF1ED6">
      <w:pPr>
        <w:widowControl w:val="0"/>
        <w:ind w:firstLine="567"/>
        <w:jc w:val="both"/>
        <w:rPr>
          <w:szCs w:val="24"/>
        </w:rPr>
      </w:pPr>
    </w:p>
    <w:p w:rsidR="0097589A" w:rsidRDefault="0097589A" w:rsidP="0087610D">
      <w:pPr>
        <w:widowControl w:val="0"/>
        <w:snapToGrid w:val="0"/>
        <w:ind w:firstLine="567"/>
        <w:contextualSpacing/>
        <w:rPr>
          <w:szCs w:val="24"/>
        </w:rPr>
      </w:pPr>
    </w:p>
    <w:p w:rsidR="008609B3" w:rsidRDefault="008609B3" w:rsidP="0087610D">
      <w:pPr>
        <w:widowControl w:val="0"/>
        <w:snapToGrid w:val="0"/>
        <w:ind w:firstLine="567"/>
        <w:contextualSpacing/>
        <w:rPr>
          <w:szCs w:val="24"/>
        </w:rPr>
      </w:pPr>
    </w:p>
    <w:p w:rsidR="008609B3" w:rsidRDefault="008609B3" w:rsidP="0087610D">
      <w:pPr>
        <w:widowControl w:val="0"/>
        <w:snapToGrid w:val="0"/>
        <w:ind w:firstLine="567"/>
        <w:contextualSpacing/>
        <w:rPr>
          <w:szCs w:val="24"/>
        </w:rPr>
      </w:pPr>
    </w:p>
    <w:p w:rsidR="008609B3" w:rsidRDefault="008609B3" w:rsidP="0087610D">
      <w:pPr>
        <w:widowControl w:val="0"/>
        <w:snapToGrid w:val="0"/>
        <w:ind w:firstLine="567"/>
        <w:contextualSpacing/>
        <w:rPr>
          <w:szCs w:val="24"/>
        </w:rPr>
      </w:pPr>
    </w:p>
    <w:p w:rsidR="008609B3" w:rsidRPr="0087610D" w:rsidRDefault="008609B3" w:rsidP="0087610D">
      <w:pPr>
        <w:widowControl w:val="0"/>
        <w:snapToGrid w:val="0"/>
        <w:ind w:firstLine="567"/>
        <w:contextualSpacing/>
        <w:rPr>
          <w:szCs w:val="24"/>
        </w:rPr>
      </w:pPr>
    </w:p>
    <w:p w:rsidR="00533977" w:rsidRDefault="00533977" w:rsidP="0087610D">
      <w:pPr>
        <w:jc w:val="center"/>
        <w:rPr>
          <w:i/>
          <w:kern w:val="28"/>
          <w:szCs w:val="24"/>
          <w:u w:val="single"/>
        </w:rPr>
      </w:pPr>
    </w:p>
    <w:p w:rsidR="000756C6" w:rsidRPr="0087610D" w:rsidRDefault="0097589A" w:rsidP="0087610D">
      <w:pPr>
        <w:jc w:val="center"/>
        <w:rPr>
          <w:i/>
          <w:kern w:val="28"/>
          <w:szCs w:val="24"/>
          <w:u w:val="single"/>
        </w:rPr>
      </w:pPr>
      <w:r w:rsidRPr="0087610D">
        <w:rPr>
          <w:i/>
          <w:kern w:val="28"/>
          <w:szCs w:val="24"/>
          <w:u w:val="single"/>
        </w:rPr>
        <w:lastRenderedPageBreak/>
        <w:t>Рекомендуемая форма по заполнению заявок участников закупок в отношении критерия «Квалификация участников закупки»</w:t>
      </w:r>
    </w:p>
    <w:p w:rsidR="0097589A" w:rsidRPr="0087610D" w:rsidRDefault="0097589A" w:rsidP="0087610D">
      <w:pPr>
        <w:autoSpaceDE w:val="0"/>
        <w:autoSpaceDN w:val="0"/>
        <w:adjustRightInd w:val="0"/>
        <w:jc w:val="center"/>
        <w:rPr>
          <w:rFonts w:eastAsia="Calibri"/>
          <w:b/>
          <w:bCs/>
          <w:szCs w:val="24"/>
          <w:lang w:eastAsia="en-US"/>
        </w:rPr>
      </w:pPr>
    </w:p>
    <w:p w:rsidR="0097589A" w:rsidRPr="008609B3" w:rsidRDefault="0097589A" w:rsidP="0087610D">
      <w:pPr>
        <w:autoSpaceDE w:val="0"/>
        <w:autoSpaceDN w:val="0"/>
        <w:adjustRightInd w:val="0"/>
        <w:jc w:val="center"/>
        <w:rPr>
          <w:rFonts w:eastAsia="Calibri"/>
          <w:b/>
          <w:bCs/>
          <w:i/>
          <w:szCs w:val="24"/>
          <w:lang w:eastAsia="en-US"/>
        </w:rPr>
      </w:pPr>
      <w:r w:rsidRPr="0087610D">
        <w:rPr>
          <w:rFonts w:eastAsia="Calibri"/>
          <w:b/>
          <w:bCs/>
          <w:i/>
          <w:szCs w:val="24"/>
          <w:lang w:eastAsia="en-US"/>
        </w:rPr>
        <w:t>Показатель «</w:t>
      </w:r>
      <w:r w:rsidR="008609B3" w:rsidRPr="008609B3">
        <w:rPr>
          <w:b/>
          <w:i/>
          <w:szCs w:val="24"/>
        </w:rPr>
        <w:t>Наличие у участников закупки на праве собственности или ином законном основании оборудования и других материальных ресурсов</w:t>
      </w:r>
      <w:r w:rsidRPr="008609B3">
        <w:rPr>
          <w:rFonts w:eastAsia="Calibri"/>
          <w:b/>
          <w:bCs/>
          <w:i/>
          <w:szCs w:val="24"/>
          <w:lang w:eastAsia="en-US"/>
        </w:rPr>
        <w:t>»</w:t>
      </w:r>
    </w:p>
    <w:p w:rsidR="0097589A" w:rsidRPr="008609B3" w:rsidRDefault="0097589A" w:rsidP="0087610D">
      <w:pPr>
        <w:autoSpaceDE w:val="0"/>
        <w:autoSpaceDN w:val="0"/>
        <w:adjustRightInd w:val="0"/>
        <w:jc w:val="center"/>
        <w:rPr>
          <w:rFonts w:eastAsia="Calibri"/>
          <w:b/>
          <w:bCs/>
          <w:i/>
          <w:szCs w:val="24"/>
          <w:lang w:eastAsia="en-US"/>
        </w:rPr>
      </w:pPr>
    </w:p>
    <w:p w:rsidR="0097589A" w:rsidRPr="0087610D" w:rsidRDefault="000D23C5" w:rsidP="0087610D">
      <w:pPr>
        <w:autoSpaceDE w:val="0"/>
        <w:autoSpaceDN w:val="0"/>
        <w:adjustRightInd w:val="0"/>
        <w:rPr>
          <w:rFonts w:eastAsia="Calibri"/>
          <w:b/>
          <w:bCs/>
          <w:szCs w:val="24"/>
          <w:lang w:eastAsia="en-US"/>
        </w:rPr>
      </w:pPr>
      <w:r w:rsidRPr="0087610D">
        <w:rPr>
          <w:rFonts w:eastAsia="Calibri"/>
          <w:b/>
          <w:bCs/>
          <w:szCs w:val="24"/>
          <w:lang w:eastAsia="en-US"/>
        </w:rPr>
        <w:t>Таблица № 1</w:t>
      </w:r>
    </w:p>
    <w:tbl>
      <w:tblPr>
        <w:tblStyle w:val="250"/>
        <w:tblW w:w="4782" w:type="pct"/>
        <w:tblLook w:val="04A0" w:firstRow="1" w:lastRow="0" w:firstColumn="1" w:lastColumn="0" w:noHBand="0" w:noVBand="1"/>
      </w:tblPr>
      <w:tblGrid>
        <w:gridCol w:w="968"/>
        <w:gridCol w:w="4246"/>
        <w:gridCol w:w="4676"/>
        <w:gridCol w:w="4251"/>
      </w:tblGrid>
      <w:tr w:rsidR="00D20160" w:rsidRPr="0087610D" w:rsidTr="00D20160">
        <w:tc>
          <w:tcPr>
            <w:tcW w:w="342" w:type="pct"/>
          </w:tcPr>
          <w:p w:rsidR="00D20160" w:rsidRPr="00D20160" w:rsidRDefault="00D20160" w:rsidP="0087610D">
            <w:pPr>
              <w:jc w:val="center"/>
              <w:rPr>
                <w:sz w:val="20"/>
                <w:szCs w:val="20"/>
              </w:rPr>
            </w:pPr>
            <w:r w:rsidRPr="00D20160">
              <w:rPr>
                <w:sz w:val="20"/>
                <w:szCs w:val="20"/>
              </w:rPr>
              <w:t xml:space="preserve">№ </w:t>
            </w:r>
            <w:proofErr w:type="gramStart"/>
            <w:r w:rsidRPr="00D20160">
              <w:rPr>
                <w:sz w:val="20"/>
                <w:szCs w:val="20"/>
              </w:rPr>
              <w:t>п</w:t>
            </w:r>
            <w:proofErr w:type="gramEnd"/>
            <w:r w:rsidRPr="00D20160">
              <w:rPr>
                <w:sz w:val="20"/>
                <w:szCs w:val="20"/>
              </w:rPr>
              <w:t>/п</w:t>
            </w:r>
          </w:p>
        </w:tc>
        <w:tc>
          <w:tcPr>
            <w:tcW w:w="1501" w:type="pct"/>
          </w:tcPr>
          <w:p w:rsidR="00D20160" w:rsidRPr="00D20160" w:rsidRDefault="00D20160" w:rsidP="0087610D">
            <w:pPr>
              <w:jc w:val="center"/>
              <w:rPr>
                <w:sz w:val="20"/>
                <w:szCs w:val="20"/>
              </w:rPr>
            </w:pPr>
            <w:r w:rsidRPr="00D20160">
              <w:rPr>
                <w:sz w:val="20"/>
                <w:szCs w:val="20"/>
              </w:rPr>
              <w:t>Показатель оценки, детализирующий показатель оценки</w:t>
            </w:r>
          </w:p>
        </w:tc>
        <w:tc>
          <w:tcPr>
            <w:tcW w:w="1653" w:type="pct"/>
          </w:tcPr>
          <w:p w:rsidR="00D20160" w:rsidRPr="00D20160" w:rsidRDefault="00D20160" w:rsidP="00D20160">
            <w:pPr>
              <w:jc w:val="center"/>
              <w:rPr>
                <w:sz w:val="20"/>
                <w:szCs w:val="20"/>
              </w:rPr>
            </w:pPr>
            <w:r w:rsidRPr="00D20160">
              <w:rPr>
                <w:sz w:val="20"/>
                <w:szCs w:val="20"/>
              </w:rPr>
              <w:t>Документ, подтверждающий наличие в пределах административных границ субъекта Российской Федерации (Ростовская область)  стационарных пунктов</w:t>
            </w:r>
            <w:r>
              <w:rPr>
                <w:sz w:val="20"/>
                <w:szCs w:val="20"/>
              </w:rPr>
              <w:t xml:space="preserve"> </w:t>
            </w:r>
            <w:r w:rsidRPr="00D20160">
              <w:rPr>
                <w:sz w:val="20"/>
                <w:szCs w:val="20"/>
              </w:rPr>
              <w:t>приема, обслуживания, обучения и выдачи протезно-ортопедических изделий, организованных в соответствии с приказом Министерства труда и социальной защиты РФ от 30  июля 2015 года №527н</w:t>
            </w:r>
          </w:p>
        </w:tc>
        <w:tc>
          <w:tcPr>
            <w:tcW w:w="1503" w:type="pct"/>
          </w:tcPr>
          <w:p w:rsidR="00D20160" w:rsidRPr="00D20160" w:rsidRDefault="00D20160" w:rsidP="0087610D">
            <w:pPr>
              <w:jc w:val="center"/>
              <w:rPr>
                <w:sz w:val="20"/>
                <w:szCs w:val="20"/>
              </w:rPr>
            </w:pPr>
            <w:r w:rsidRPr="00D20160">
              <w:rPr>
                <w:sz w:val="20"/>
                <w:szCs w:val="20"/>
              </w:rPr>
              <w:t>Адрес стационарных пунктов</w:t>
            </w:r>
            <w:r>
              <w:rPr>
                <w:sz w:val="20"/>
                <w:szCs w:val="20"/>
              </w:rPr>
              <w:t xml:space="preserve"> </w:t>
            </w:r>
            <w:r w:rsidRPr="00D20160">
              <w:rPr>
                <w:sz w:val="20"/>
                <w:szCs w:val="20"/>
              </w:rPr>
              <w:t>приема, обслуживания, обучения и выдачи протезно-ортопедических изделий, организованных в соответствии с приказом Министерства труда и социальной защиты РФ от 30  июля 2015 года №527н</w:t>
            </w:r>
          </w:p>
        </w:tc>
      </w:tr>
      <w:tr w:rsidR="00D20160" w:rsidRPr="0087610D" w:rsidTr="00D20160">
        <w:tc>
          <w:tcPr>
            <w:tcW w:w="342" w:type="pct"/>
          </w:tcPr>
          <w:p w:rsidR="00D20160" w:rsidRPr="0087610D" w:rsidRDefault="00D20160" w:rsidP="0087610D">
            <w:pPr>
              <w:jc w:val="center"/>
              <w:rPr>
                <w:szCs w:val="24"/>
              </w:rPr>
            </w:pPr>
            <w:r w:rsidRPr="0087610D">
              <w:rPr>
                <w:szCs w:val="24"/>
              </w:rPr>
              <w:t>1</w:t>
            </w:r>
          </w:p>
        </w:tc>
        <w:tc>
          <w:tcPr>
            <w:tcW w:w="1501" w:type="pct"/>
          </w:tcPr>
          <w:p w:rsidR="00D20160" w:rsidRPr="00D20160" w:rsidRDefault="00D20160" w:rsidP="00D20160">
            <w:pPr>
              <w:rPr>
                <w:sz w:val="20"/>
                <w:szCs w:val="20"/>
              </w:rPr>
            </w:pPr>
            <w:r>
              <w:rPr>
                <w:sz w:val="20"/>
                <w:szCs w:val="20"/>
              </w:rPr>
              <w:t>Н</w:t>
            </w:r>
            <w:r w:rsidRPr="00D20160">
              <w:rPr>
                <w:sz w:val="20"/>
                <w:szCs w:val="20"/>
              </w:rPr>
              <w:t>аличие в пределах административных границ субъекта Российской Федерации (Ростовская область)  стационарных пунктов приема, обслуживания, обучения и выдачи протезно-ортопедических изделий, организованных в соответствии с приказом Министерства труда и социальной защиты РФ от 30  июля 2015 года №527н</w:t>
            </w:r>
          </w:p>
        </w:tc>
        <w:tc>
          <w:tcPr>
            <w:tcW w:w="1653" w:type="pct"/>
          </w:tcPr>
          <w:p w:rsidR="00D20160" w:rsidRPr="0087610D" w:rsidRDefault="00D20160" w:rsidP="00D20160">
            <w:pPr>
              <w:rPr>
                <w:szCs w:val="24"/>
              </w:rPr>
            </w:pPr>
            <w:r w:rsidRPr="0087610D">
              <w:rPr>
                <w:i/>
                <w:iCs/>
                <w:szCs w:val="24"/>
              </w:rPr>
              <w:t xml:space="preserve">Заполняется участником закупки </w:t>
            </w:r>
          </w:p>
        </w:tc>
        <w:tc>
          <w:tcPr>
            <w:tcW w:w="1503" w:type="pct"/>
          </w:tcPr>
          <w:p w:rsidR="00D20160" w:rsidRPr="0087610D" w:rsidRDefault="00D20160" w:rsidP="00D20160">
            <w:pPr>
              <w:rPr>
                <w:szCs w:val="24"/>
              </w:rPr>
            </w:pPr>
            <w:r w:rsidRPr="0087610D">
              <w:rPr>
                <w:i/>
                <w:iCs/>
                <w:szCs w:val="24"/>
              </w:rPr>
              <w:t xml:space="preserve">Заполняется участником закупки </w:t>
            </w:r>
          </w:p>
        </w:tc>
      </w:tr>
    </w:tbl>
    <w:p w:rsidR="00533977" w:rsidRDefault="00533977" w:rsidP="0087610D">
      <w:pPr>
        <w:jc w:val="center"/>
        <w:rPr>
          <w:b/>
          <w:i/>
          <w:szCs w:val="24"/>
        </w:rPr>
      </w:pPr>
    </w:p>
    <w:p w:rsidR="00533977" w:rsidRDefault="00533977" w:rsidP="0087610D">
      <w:pPr>
        <w:jc w:val="center"/>
        <w:rPr>
          <w:b/>
          <w:i/>
          <w:szCs w:val="24"/>
        </w:rPr>
      </w:pPr>
    </w:p>
    <w:p w:rsidR="00533977" w:rsidRDefault="00533977" w:rsidP="0087610D">
      <w:pPr>
        <w:jc w:val="center"/>
        <w:rPr>
          <w:b/>
          <w:i/>
          <w:szCs w:val="24"/>
        </w:rPr>
      </w:pPr>
    </w:p>
    <w:p w:rsidR="00533977" w:rsidRDefault="00533977" w:rsidP="0087610D">
      <w:pPr>
        <w:jc w:val="center"/>
        <w:rPr>
          <w:b/>
          <w:i/>
          <w:szCs w:val="24"/>
        </w:rPr>
      </w:pPr>
    </w:p>
    <w:p w:rsidR="00533977" w:rsidRDefault="00533977" w:rsidP="0087610D">
      <w:pPr>
        <w:jc w:val="center"/>
        <w:rPr>
          <w:b/>
          <w:i/>
          <w:szCs w:val="24"/>
        </w:rPr>
      </w:pPr>
    </w:p>
    <w:p w:rsidR="0097589A" w:rsidRPr="0087610D" w:rsidRDefault="001F713C" w:rsidP="0087610D">
      <w:pPr>
        <w:jc w:val="center"/>
        <w:rPr>
          <w:b/>
          <w:i/>
          <w:szCs w:val="24"/>
        </w:rPr>
      </w:pPr>
      <w:r w:rsidRPr="0087610D">
        <w:rPr>
          <w:b/>
          <w:i/>
          <w:szCs w:val="24"/>
        </w:rPr>
        <w:t>Показатель «Наличие у участников закупки опыта поставки товара, выполнения работы, оказания услуги, связанного с предметом контракта»</w:t>
      </w:r>
      <w:r w:rsidR="000413BD" w:rsidRPr="0087610D">
        <w:rPr>
          <w:b/>
          <w:i/>
          <w:szCs w:val="24"/>
        </w:rPr>
        <w:t>, детализирующий показатель «Общая цена исполненных участником закупки договоров»</w:t>
      </w:r>
      <w:bookmarkStart w:id="3" w:name="_GoBack"/>
      <w:bookmarkEnd w:id="3"/>
    </w:p>
    <w:p w:rsidR="00C10023" w:rsidRPr="0087610D" w:rsidRDefault="00C10023" w:rsidP="0087610D">
      <w:pPr>
        <w:jc w:val="center"/>
        <w:rPr>
          <w:b/>
          <w:i/>
          <w:szCs w:val="24"/>
        </w:rPr>
      </w:pPr>
    </w:p>
    <w:p w:rsidR="000D23C5" w:rsidRPr="0087610D" w:rsidRDefault="000D23C5" w:rsidP="0087610D">
      <w:pPr>
        <w:rPr>
          <w:b/>
          <w:szCs w:val="24"/>
        </w:rPr>
      </w:pPr>
      <w:r w:rsidRPr="0087610D">
        <w:rPr>
          <w:b/>
          <w:szCs w:val="24"/>
        </w:rPr>
        <w:t>Таблица № 2</w:t>
      </w:r>
    </w:p>
    <w:tbl>
      <w:tblPr>
        <w:tblStyle w:val="affff2"/>
        <w:tblW w:w="5000" w:type="pct"/>
        <w:tblLook w:val="04A0" w:firstRow="1" w:lastRow="0" w:firstColumn="1" w:lastColumn="0" w:noHBand="0" w:noVBand="1"/>
      </w:tblPr>
      <w:tblGrid>
        <w:gridCol w:w="815"/>
        <w:gridCol w:w="3688"/>
        <w:gridCol w:w="1615"/>
        <w:gridCol w:w="3833"/>
        <w:gridCol w:w="2475"/>
        <w:gridCol w:w="2360"/>
      </w:tblGrid>
      <w:tr w:rsidR="00C10023" w:rsidRPr="0087610D" w:rsidTr="008609B3">
        <w:tc>
          <w:tcPr>
            <w:tcW w:w="276" w:type="pct"/>
          </w:tcPr>
          <w:p w:rsidR="00C10023" w:rsidRPr="008609B3" w:rsidRDefault="00C10023" w:rsidP="0087610D">
            <w:pPr>
              <w:keepLines/>
              <w:rPr>
                <w:sz w:val="20"/>
              </w:rPr>
            </w:pPr>
            <w:r w:rsidRPr="008609B3">
              <w:rPr>
                <w:sz w:val="20"/>
              </w:rPr>
              <w:t xml:space="preserve">№ </w:t>
            </w:r>
            <w:proofErr w:type="gramStart"/>
            <w:r w:rsidRPr="008609B3">
              <w:rPr>
                <w:sz w:val="20"/>
              </w:rPr>
              <w:t>п</w:t>
            </w:r>
            <w:proofErr w:type="gramEnd"/>
            <w:r w:rsidRPr="008609B3">
              <w:rPr>
                <w:sz w:val="20"/>
              </w:rPr>
              <w:t>/п</w:t>
            </w:r>
          </w:p>
        </w:tc>
        <w:tc>
          <w:tcPr>
            <w:tcW w:w="1247" w:type="pct"/>
          </w:tcPr>
          <w:p w:rsidR="00C10023" w:rsidRPr="008609B3" w:rsidRDefault="00C10023" w:rsidP="0087610D">
            <w:pPr>
              <w:keepLines/>
              <w:rPr>
                <w:sz w:val="20"/>
              </w:rPr>
            </w:pPr>
            <w:r w:rsidRPr="008609B3">
              <w:rPr>
                <w:sz w:val="20"/>
              </w:rPr>
              <w:t>Предмет договора (контракта), оцениваемого по детализирующему показателю, сопоставимый с предметом контракта, заключаемого по результатам определения исполнителя</w:t>
            </w:r>
          </w:p>
        </w:tc>
        <w:tc>
          <w:tcPr>
            <w:tcW w:w="546" w:type="pct"/>
          </w:tcPr>
          <w:p w:rsidR="00C10023" w:rsidRPr="008609B3" w:rsidRDefault="00C10023" w:rsidP="0087610D">
            <w:pPr>
              <w:keepLines/>
              <w:rPr>
                <w:sz w:val="20"/>
              </w:rPr>
            </w:pPr>
            <w:r w:rsidRPr="008609B3">
              <w:rPr>
                <w:sz w:val="20"/>
              </w:rPr>
              <w:t>Номер и дата договора (контракта)</w:t>
            </w:r>
          </w:p>
        </w:tc>
        <w:tc>
          <w:tcPr>
            <w:tcW w:w="1296" w:type="pct"/>
          </w:tcPr>
          <w:p w:rsidR="00C10023" w:rsidRPr="008609B3" w:rsidRDefault="00C10023" w:rsidP="0087610D">
            <w:pPr>
              <w:keepLines/>
              <w:rPr>
                <w:sz w:val="20"/>
              </w:rPr>
            </w:pPr>
            <w:r w:rsidRPr="008609B3">
              <w:rPr>
                <w:sz w:val="20"/>
              </w:rPr>
              <w:t xml:space="preserve">Реестровый номер контракта (на сайте в информационно-телекоммуникационной сети «Интернет» </w:t>
            </w:r>
            <w:hyperlink r:id="rId14" w:history="1">
              <w:r w:rsidRPr="008609B3">
                <w:rPr>
                  <w:rStyle w:val="afff"/>
                  <w:sz w:val="20"/>
                </w:rPr>
                <w:t>www.zakupki.gov.ru</w:t>
              </w:r>
            </w:hyperlink>
            <w:r w:rsidRPr="008609B3">
              <w:rPr>
                <w:sz w:val="20"/>
              </w:rPr>
              <w:t>) (при наличии)</w:t>
            </w:r>
          </w:p>
        </w:tc>
        <w:tc>
          <w:tcPr>
            <w:tcW w:w="837" w:type="pct"/>
            <w:tcBorders>
              <w:top w:val="single" w:sz="4" w:space="0" w:color="000000"/>
              <w:left w:val="single" w:sz="4" w:space="0" w:color="000000"/>
              <w:bottom w:val="single" w:sz="4" w:space="0" w:color="000000"/>
              <w:right w:val="single" w:sz="4" w:space="0" w:color="000000"/>
            </w:tcBorders>
          </w:tcPr>
          <w:p w:rsidR="00C10023" w:rsidRPr="008609B3" w:rsidRDefault="00C10023" w:rsidP="0087610D">
            <w:pPr>
              <w:overflowPunct w:val="0"/>
              <w:snapToGrid w:val="0"/>
              <w:jc w:val="center"/>
              <w:rPr>
                <w:bCs/>
                <w:sz w:val="20"/>
              </w:rPr>
            </w:pPr>
            <w:r w:rsidRPr="008609B3">
              <w:rPr>
                <w:bCs/>
                <w:sz w:val="20"/>
              </w:rPr>
              <w:t xml:space="preserve">Наименование заказчика </w:t>
            </w:r>
          </w:p>
          <w:p w:rsidR="00C10023" w:rsidRPr="008609B3" w:rsidRDefault="00C10023" w:rsidP="0087610D">
            <w:pPr>
              <w:overflowPunct w:val="0"/>
              <w:snapToGrid w:val="0"/>
              <w:jc w:val="center"/>
              <w:rPr>
                <w:bCs/>
                <w:sz w:val="20"/>
              </w:rPr>
            </w:pPr>
            <w:r w:rsidRPr="008609B3">
              <w:rPr>
                <w:bCs/>
                <w:sz w:val="20"/>
              </w:rPr>
              <w:t>(с указанием ИНН) (при наличии)</w:t>
            </w:r>
          </w:p>
        </w:tc>
        <w:tc>
          <w:tcPr>
            <w:tcW w:w="798" w:type="pct"/>
          </w:tcPr>
          <w:p w:rsidR="00C10023" w:rsidRPr="008609B3" w:rsidRDefault="00C10023" w:rsidP="0087610D">
            <w:pPr>
              <w:keepLines/>
              <w:rPr>
                <w:sz w:val="20"/>
              </w:rPr>
            </w:pPr>
            <w:r w:rsidRPr="008609B3">
              <w:rPr>
                <w:sz w:val="20"/>
              </w:rPr>
              <w:t>Суммарная стоимость выполненных работ</w:t>
            </w:r>
          </w:p>
        </w:tc>
      </w:tr>
      <w:tr w:rsidR="00C10023" w:rsidRPr="0087610D" w:rsidTr="00D20160">
        <w:tc>
          <w:tcPr>
            <w:tcW w:w="276" w:type="pct"/>
          </w:tcPr>
          <w:p w:rsidR="00C10023" w:rsidRPr="0087610D" w:rsidRDefault="00C10023" w:rsidP="0087610D">
            <w:pPr>
              <w:keepLines/>
              <w:rPr>
                <w:szCs w:val="24"/>
              </w:rPr>
            </w:pPr>
            <w:r w:rsidRPr="0087610D">
              <w:rPr>
                <w:szCs w:val="24"/>
              </w:rPr>
              <w:t>1.</w:t>
            </w:r>
          </w:p>
        </w:tc>
        <w:tc>
          <w:tcPr>
            <w:tcW w:w="1247" w:type="pct"/>
          </w:tcPr>
          <w:p w:rsidR="00C10023" w:rsidRPr="0087610D" w:rsidRDefault="00C10023" w:rsidP="0087610D">
            <w:pPr>
              <w:keepLines/>
              <w:rPr>
                <w:szCs w:val="24"/>
              </w:rPr>
            </w:pPr>
          </w:p>
        </w:tc>
        <w:tc>
          <w:tcPr>
            <w:tcW w:w="546" w:type="pct"/>
          </w:tcPr>
          <w:p w:rsidR="00C10023" w:rsidRPr="0087610D" w:rsidRDefault="00C10023" w:rsidP="0087610D">
            <w:pPr>
              <w:keepLines/>
              <w:rPr>
                <w:szCs w:val="24"/>
              </w:rPr>
            </w:pPr>
          </w:p>
        </w:tc>
        <w:tc>
          <w:tcPr>
            <w:tcW w:w="1296" w:type="pct"/>
          </w:tcPr>
          <w:p w:rsidR="00C10023" w:rsidRPr="0087610D" w:rsidRDefault="00C10023" w:rsidP="0087610D">
            <w:pPr>
              <w:keepLines/>
              <w:rPr>
                <w:szCs w:val="24"/>
              </w:rPr>
            </w:pPr>
          </w:p>
        </w:tc>
        <w:tc>
          <w:tcPr>
            <w:tcW w:w="837" w:type="pct"/>
          </w:tcPr>
          <w:p w:rsidR="00C10023" w:rsidRPr="0087610D" w:rsidRDefault="00C10023" w:rsidP="0087610D">
            <w:pPr>
              <w:keepLines/>
              <w:rPr>
                <w:szCs w:val="24"/>
              </w:rPr>
            </w:pPr>
          </w:p>
        </w:tc>
        <w:tc>
          <w:tcPr>
            <w:tcW w:w="798" w:type="pct"/>
          </w:tcPr>
          <w:p w:rsidR="00C10023" w:rsidRPr="0087610D" w:rsidRDefault="00C10023" w:rsidP="0087610D">
            <w:pPr>
              <w:keepLines/>
              <w:rPr>
                <w:szCs w:val="24"/>
              </w:rPr>
            </w:pPr>
          </w:p>
        </w:tc>
      </w:tr>
      <w:tr w:rsidR="00C10023" w:rsidRPr="0087610D" w:rsidTr="00D20160">
        <w:tc>
          <w:tcPr>
            <w:tcW w:w="276" w:type="pct"/>
          </w:tcPr>
          <w:p w:rsidR="00C10023" w:rsidRPr="0087610D" w:rsidRDefault="00C10023" w:rsidP="0087610D">
            <w:pPr>
              <w:keepLines/>
              <w:rPr>
                <w:szCs w:val="24"/>
              </w:rPr>
            </w:pPr>
            <w:r w:rsidRPr="0087610D">
              <w:rPr>
                <w:szCs w:val="24"/>
              </w:rPr>
              <w:t>2.</w:t>
            </w:r>
          </w:p>
        </w:tc>
        <w:tc>
          <w:tcPr>
            <w:tcW w:w="1247" w:type="pct"/>
          </w:tcPr>
          <w:p w:rsidR="00C10023" w:rsidRPr="0087610D" w:rsidRDefault="00C10023" w:rsidP="0087610D">
            <w:pPr>
              <w:keepLines/>
              <w:rPr>
                <w:szCs w:val="24"/>
              </w:rPr>
            </w:pPr>
          </w:p>
        </w:tc>
        <w:tc>
          <w:tcPr>
            <w:tcW w:w="546" w:type="pct"/>
          </w:tcPr>
          <w:p w:rsidR="00C10023" w:rsidRPr="0087610D" w:rsidRDefault="00C10023" w:rsidP="0087610D">
            <w:pPr>
              <w:keepLines/>
              <w:rPr>
                <w:szCs w:val="24"/>
              </w:rPr>
            </w:pPr>
          </w:p>
        </w:tc>
        <w:tc>
          <w:tcPr>
            <w:tcW w:w="1296" w:type="pct"/>
          </w:tcPr>
          <w:p w:rsidR="00C10023" w:rsidRPr="0087610D" w:rsidRDefault="00C10023" w:rsidP="0087610D">
            <w:pPr>
              <w:keepLines/>
              <w:rPr>
                <w:szCs w:val="24"/>
              </w:rPr>
            </w:pPr>
          </w:p>
        </w:tc>
        <w:tc>
          <w:tcPr>
            <w:tcW w:w="837" w:type="pct"/>
          </w:tcPr>
          <w:p w:rsidR="00C10023" w:rsidRPr="0087610D" w:rsidRDefault="00C10023" w:rsidP="0087610D">
            <w:pPr>
              <w:keepLines/>
              <w:rPr>
                <w:szCs w:val="24"/>
              </w:rPr>
            </w:pPr>
          </w:p>
        </w:tc>
        <w:tc>
          <w:tcPr>
            <w:tcW w:w="798" w:type="pct"/>
          </w:tcPr>
          <w:p w:rsidR="00C10023" w:rsidRPr="0087610D" w:rsidRDefault="00C10023" w:rsidP="0087610D">
            <w:pPr>
              <w:keepLines/>
              <w:rPr>
                <w:szCs w:val="24"/>
              </w:rPr>
            </w:pPr>
          </w:p>
        </w:tc>
      </w:tr>
    </w:tbl>
    <w:p w:rsidR="00533977" w:rsidRDefault="00533977" w:rsidP="0087610D">
      <w:pPr>
        <w:jc w:val="center"/>
        <w:rPr>
          <w:b/>
          <w:i/>
          <w:szCs w:val="24"/>
        </w:rPr>
      </w:pPr>
    </w:p>
    <w:p w:rsidR="000756C6" w:rsidRPr="0087610D" w:rsidRDefault="000756C6" w:rsidP="0087610D">
      <w:pPr>
        <w:widowControl w:val="0"/>
        <w:ind w:firstLine="720"/>
        <w:jc w:val="right"/>
        <w:rPr>
          <w:szCs w:val="24"/>
        </w:rPr>
      </w:pPr>
    </w:p>
    <w:sectPr w:rsidR="000756C6" w:rsidRPr="0087610D" w:rsidSect="00841E75">
      <w:pgSz w:w="16838" w:h="11906" w:orient="landscape"/>
      <w:pgMar w:top="851" w:right="1134" w:bottom="851"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7B4" w:rsidRDefault="009457B4" w:rsidP="00DF5110">
      <w:r>
        <w:separator/>
      </w:r>
    </w:p>
  </w:endnote>
  <w:endnote w:type="continuationSeparator" w:id="0">
    <w:p w:rsidR="009457B4" w:rsidRDefault="009457B4"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Times New Roman"/>
    <w:charset w:val="CC"/>
    <w:family w:val="swiss"/>
    <w:pitch w:val="default"/>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7B4" w:rsidRDefault="009457B4" w:rsidP="00DF5110">
      <w:r>
        <w:separator/>
      </w:r>
    </w:p>
  </w:footnote>
  <w:footnote w:type="continuationSeparator" w:id="0">
    <w:p w:rsidR="009457B4" w:rsidRDefault="009457B4" w:rsidP="00DF5110">
      <w:r>
        <w:continuationSeparator/>
      </w:r>
    </w:p>
  </w:footnote>
  <w:footnote w:id="1">
    <w:p w:rsidR="00560EF3" w:rsidRPr="006E0199" w:rsidRDefault="00560EF3">
      <w:pPr>
        <w:pStyle w:val="affff4"/>
        <w:rPr>
          <w:color w:val="000000" w:themeColor="text1"/>
        </w:rPr>
      </w:pPr>
      <w:r w:rsidRPr="006E0199">
        <w:rPr>
          <w:rStyle w:val="affff6"/>
          <w:color w:val="000000" w:themeColor="text1"/>
        </w:rPr>
        <w:footnoteRef/>
      </w:r>
      <w:r w:rsidRPr="006E0199">
        <w:rPr>
          <w:color w:val="000000" w:themeColor="text1"/>
        </w:rPr>
        <w:t xml:space="preserve"> Для договоров (контрактов), сведения по которым не </w:t>
      </w:r>
      <w:proofErr w:type="gramStart"/>
      <w:r w:rsidRPr="006E0199">
        <w:rPr>
          <w:color w:val="000000" w:themeColor="text1"/>
        </w:rPr>
        <w:t>размещались в ЕИС должны</w:t>
      </w:r>
      <w:proofErr w:type="gramEnd"/>
      <w:r w:rsidRPr="006E0199">
        <w:rPr>
          <w:color w:val="000000" w:themeColor="text1"/>
        </w:rPr>
        <w:t xml:space="preserve"> быть предоставлены документы, подтверждающие факт взаиморасчетов.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nsid w:val="14DD1711"/>
    <w:multiLevelType w:val="hybridMultilevel"/>
    <w:tmpl w:val="A65A4BEE"/>
    <w:lvl w:ilvl="0" w:tplc="43B60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nsid w:val="3D577F24"/>
    <w:multiLevelType w:val="hybridMultilevel"/>
    <w:tmpl w:val="A5424A4E"/>
    <w:lvl w:ilvl="0" w:tplc="0FAC7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F765232"/>
    <w:multiLevelType w:val="hybridMultilevel"/>
    <w:tmpl w:val="D42647D6"/>
    <w:lvl w:ilvl="0" w:tplc="610EAD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4FB80EF6"/>
    <w:multiLevelType w:val="hybridMultilevel"/>
    <w:tmpl w:val="DACA23DA"/>
    <w:lvl w:ilvl="0" w:tplc="F4D40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0"/>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6F"/>
    <w:rsid w:val="00014955"/>
    <w:rsid w:val="00027EA1"/>
    <w:rsid w:val="000413BD"/>
    <w:rsid w:val="000756C6"/>
    <w:rsid w:val="00092796"/>
    <w:rsid w:val="000A4304"/>
    <w:rsid w:val="000A6795"/>
    <w:rsid w:val="000C0D65"/>
    <w:rsid w:val="000D23C5"/>
    <w:rsid w:val="000D7115"/>
    <w:rsid w:val="001124C0"/>
    <w:rsid w:val="0012344F"/>
    <w:rsid w:val="00125F06"/>
    <w:rsid w:val="0013772F"/>
    <w:rsid w:val="001671E2"/>
    <w:rsid w:val="001967B7"/>
    <w:rsid w:val="001C54FA"/>
    <w:rsid w:val="001D4491"/>
    <w:rsid w:val="001F713C"/>
    <w:rsid w:val="00202908"/>
    <w:rsid w:val="00205927"/>
    <w:rsid w:val="002069D5"/>
    <w:rsid w:val="002137FF"/>
    <w:rsid w:val="00221514"/>
    <w:rsid w:val="002256BE"/>
    <w:rsid w:val="00230E03"/>
    <w:rsid w:val="0024676B"/>
    <w:rsid w:val="00253531"/>
    <w:rsid w:val="00260EB5"/>
    <w:rsid w:val="002624BA"/>
    <w:rsid w:val="00280206"/>
    <w:rsid w:val="00287C57"/>
    <w:rsid w:val="002B2F07"/>
    <w:rsid w:val="002B51D9"/>
    <w:rsid w:val="00306100"/>
    <w:rsid w:val="0031054B"/>
    <w:rsid w:val="0032740B"/>
    <w:rsid w:val="00363E7F"/>
    <w:rsid w:val="0037764B"/>
    <w:rsid w:val="003778FA"/>
    <w:rsid w:val="003A6AFA"/>
    <w:rsid w:val="003D479A"/>
    <w:rsid w:val="003D6F2D"/>
    <w:rsid w:val="003D7EAF"/>
    <w:rsid w:val="00414B6D"/>
    <w:rsid w:val="00415B2A"/>
    <w:rsid w:val="00423849"/>
    <w:rsid w:val="00433F8E"/>
    <w:rsid w:val="00455F0C"/>
    <w:rsid w:val="00462C2B"/>
    <w:rsid w:val="0046447E"/>
    <w:rsid w:val="00485618"/>
    <w:rsid w:val="004A30D0"/>
    <w:rsid w:val="004B1C8B"/>
    <w:rsid w:val="004C006F"/>
    <w:rsid w:val="00514822"/>
    <w:rsid w:val="0052416F"/>
    <w:rsid w:val="0052616A"/>
    <w:rsid w:val="00533977"/>
    <w:rsid w:val="0055621E"/>
    <w:rsid w:val="00560EF3"/>
    <w:rsid w:val="005818AE"/>
    <w:rsid w:val="005A5418"/>
    <w:rsid w:val="005B3EF0"/>
    <w:rsid w:val="005D51B0"/>
    <w:rsid w:val="005E28A1"/>
    <w:rsid w:val="005F3DA7"/>
    <w:rsid w:val="005F7457"/>
    <w:rsid w:val="00615723"/>
    <w:rsid w:val="006213A2"/>
    <w:rsid w:val="006547D8"/>
    <w:rsid w:val="006615A3"/>
    <w:rsid w:val="006662F1"/>
    <w:rsid w:val="006710EB"/>
    <w:rsid w:val="00690E40"/>
    <w:rsid w:val="006B30CE"/>
    <w:rsid w:val="006C6AB5"/>
    <w:rsid w:val="006E0199"/>
    <w:rsid w:val="006E6C80"/>
    <w:rsid w:val="00732B07"/>
    <w:rsid w:val="00743104"/>
    <w:rsid w:val="00746EF3"/>
    <w:rsid w:val="00771329"/>
    <w:rsid w:val="0078561D"/>
    <w:rsid w:val="00790667"/>
    <w:rsid w:val="007B4722"/>
    <w:rsid w:val="007B77DB"/>
    <w:rsid w:val="007D32F0"/>
    <w:rsid w:val="007D71FD"/>
    <w:rsid w:val="007E71A4"/>
    <w:rsid w:val="007E799B"/>
    <w:rsid w:val="008010CF"/>
    <w:rsid w:val="00804EA2"/>
    <w:rsid w:val="008129CA"/>
    <w:rsid w:val="00815D38"/>
    <w:rsid w:val="00841E75"/>
    <w:rsid w:val="008458E8"/>
    <w:rsid w:val="00847CA9"/>
    <w:rsid w:val="008609B3"/>
    <w:rsid w:val="00863CB0"/>
    <w:rsid w:val="00873AB4"/>
    <w:rsid w:val="0087610D"/>
    <w:rsid w:val="0088647C"/>
    <w:rsid w:val="00895F54"/>
    <w:rsid w:val="008F712B"/>
    <w:rsid w:val="00915519"/>
    <w:rsid w:val="0091626B"/>
    <w:rsid w:val="009457B4"/>
    <w:rsid w:val="00950484"/>
    <w:rsid w:val="009505A4"/>
    <w:rsid w:val="0096161F"/>
    <w:rsid w:val="009638FA"/>
    <w:rsid w:val="00970531"/>
    <w:rsid w:val="00970C8E"/>
    <w:rsid w:val="0097589A"/>
    <w:rsid w:val="009A2C9D"/>
    <w:rsid w:val="009C43F6"/>
    <w:rsid w:val="00A05E1B"/>
    <w:rsid w:val="00A11100"/>
    <w:rsid w:val="00A117F7"/>
    <w:rsid w:val="00A2500E"/>
    <w:rsid w:val="00A63A32"/>
    <w:rsid w:val="00A82609"/>
    <w:rsid w:val="00A875A9"/>
    <w:rsid w:val="00AD47F4"/>
    <w:rsid w:val="00AE7094"/>
    <w:rsid w:val="00AF0E79"/>
    <w:rsid w:val="00AF1ED6"/>
    <w:rsid w:val="00B659D4"/>
    <w:rsid w:val="00B71724"/>
    <w:rsid w:val="00B72FEB"/>
    <w:rsid w:val="00B762B6"/>
    <w:rsid w:val="00B9670D"/>
    <w:rsid w:val="00BD790A"/>
    <w:rsid w:val="00BE1778"/>
    <w:rsid w:val="00C10023"/>
    <w:rsid w:val="00C131AD"/>
    <w:rsid w:val="00C454E0"/>
    <w:rsid w:val="00C51100"/>
    <w:rsid w:val="00C67BED"/>
    <w:rsid w:val="00C726F2"/>
    <w:rsid w:val="00C74671"/>
    <w:rsid w:val="00C8725F"/>
    <w:rsid w:val="00CC6B18"/>
    <w:rsid w:val="00CD1AFA"/>
    <w:rsid w:val="00CD4108"/>
    <w:rsid w:val="00CD79DB"/>
    <w:rsid w:val="00D136E2"/>
    <w:rsid w:val="00D20160"/>
    <w:rsid w:val="00D32AE2"/>
    <w:rsid w:val="00D35CD1"/>
    <w:rsid w:val="00D37547"/>
    <w:rsid w:val="00D56E74"/>
    <w:rsid w:val="00D93CC4"/>
    <w:rsid w:val="00D9573D"/>
    <w:rsid w:val="00DD211B"/>
    <w:rsid w:val="00DD327E"/>
    <w:rsid w:val="00DF5110"/>
    <w:rsid w:val="00E152A6"/>
    <w:rsid w:val="00E271C8"/>
    <w:rsid w:val="00E27453"/>
    <w:rsid w:val="00E574D7"/>
    <w:rsid w:val="00E670B7"/>
    <w:rsid w:val="00E719B3"/>
    <w:rsid w:val="00EA21E5"/>
    <w:rsid w:val="00EC42EF"/>
    <w:rsid w:val="00EC771F"/>
    <w:rsid w:val="00EF5F30"/>
    <w:rsid w:val="00F10273"/>
    <w:rsid w:val="00F25F8B"/>
    <w:rsid w:val="00F4791A"/>
    <w:rsid w:val="00F64696"/>
    <w:rsid w:val="00F734EB"/>
    <w:rsid w:val="00F76FC2"/>
    <w:rsid w:val="00F77DD5"/>
    <w:rsid w:val="00FA38D8"/>
    <w:rsid w:val="00FB2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uiPriority w:val="99"/>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uiPriority w:val="99"/>
    <w:pPr>
      <w:tabs>
        <w:tab w:val="center" w:pos="4153"/>
        <w:tab w:val="right" w:pos="8306"/>
      </w:tabs>
    </w:pPr>
    <w:rPr>
      <w:sz w:val="20"/>
    </w:rPr>
  </w:style>
  <w:style w:type="character" w:customStyle="1" w:styleId="aa">
    <w:name w:val="Нижний колонтитул Знак"/>
    <w:basedOn w:val="10"/>
    <w:link w:val="a9"/>
    <w:uiPriority w:val="9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aliases w:val="ho,header odd,first,heading one,h,h Знак,הנדון,hd,Согласовано и Утверждено"/>
    <w:basedOn w:val="a"/>
    <w:link w:val="aff8"/>
    <w:uiPriority w:val="99"/>
    <w:pPr>
      <w:tabs>
        <w:tab w:val="center" w:pos="4677"/>
        <w:tab w:val="right" w:pos="9355"/>
      </w:tabs>
    </w:pPr>
  </w:style>
  <w:style w:type="character" w:customStyle="1" w:styleId="aff8">
    <w:name w:val="Верхний колонтитул Знак"/>
    <w:aliases w:val="ho Знак,header odd Знак,first Знак,heading one Знак,h Знак1,h Знак Знак,הנדון Знак,hd Знак,Согласовано и Утверждено Знак"/>
    <w:basedOn w:val="10"/>
    <w:link w:val="aff7"/>
    <w:uiPriority w:val="99"/>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2">
    <w:name w:val="Table Grid"/>
    <w:basedOn w:val="a1"/>
    <w:uiPriority w:val="59"/>
    <w:pPr>
      <w:widowControl w:val="0"/>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semiHidden/>
    <w:unhideWhenUsed/>
    <w:rsid w:val="00DF5110"/>
    <w:rPr>
      <w:sz w:val="20"/>
    </w:rPr>
  </w:style>
  <w:style w:type="character" w:customStyle="1" w:styleId="affff5">
    <w:name w:val="Текст сноски Знак"/>
    <w:basedOn w:val="a0"/>
    <w:link w:val="affff4"/>
    <w:uiPriority w:val="99"/>
    <w:semiHidden/>
    <w:rsid w:val="00DF5110"/>
    <w:rPr>
      <w:rFonts w:ascii="Times New Roman" w:hAnsi="Times New Roman"/>
      <w:sz w:val="20"/>
    </w:rPr>
  </w:style>
  <w:style w:type="character" w:styleId="affff6">
    <w:name w:val="footnote reference"/>
    <w:basedOn w:val="a0"/>
    <w:uiPriority w:val="99"/>
    <w:semiHidden/>
    <w:unhideWhenUsed/>
    <w:rsid w:val="00DF5110"/>
    <w:rPr>
      <w:vertAlign w:val="superscript"/>
    </w:rPr>
  </w:style>
  <w:style w:type="character" w:customStyle="1" w:styleId="ConsPlusNormal1">
    <w:name w:val="ConsPlusNormal Знак"/>
    <w:locked/>
    <w:rsid w:val="004B1C8B"/>
    <w:rPr>
      <w:rFonts w:ascii="Arial" w:hAnsi="Arial" w:cs="Arial"/>
    </w:rPr>
  </w:style>
  <w:style w:type="table" w:customStyle="1" w:styleId="250">
    <w:name w:val="Сетка таблицы25"/>
    <w:basedOn w:val="a1"/>
    <w:next w:val="affff2"/>
    <w:uiPriority w:val="39"/>
    <w:rsid w:val="004B1C8B"/>
    <w:pPr>
      <w:spacing w:after="0" w:line="240" w:lineRule="auto"/>
    </w:pPr>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uiPriority w:val="99"/>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uiPriority w:val="99"/>
    <w:pPr>
      <w:tabs>
        <w:tab w:val="center" w:pos="4153"/>
        <w:tab w:val="right" w:pos="8306"/>
      </w:tabs>
    </w:pPr>
    <w:rPr>
      <w:sz w:val="20"/>
    </w:rPr>
  </w:style>
  <w:style w:type="character" w:customStyle="1" w:styleId="aa">
    <w:name w:val="Нижний колонтитул Знак"/>
    <w:basedOn w:val="10"/>
    <w:link w:val="a9"/>
    <w:uiPriority w:val="9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aliases w:val="ho,header odd,first,heading one,h,h Знак,הנדון,hd,Согласовано и Утверждено"/>
    <w:basedOn w:val="a"/>
    <w:link w:val="aff8"/>
    <w:uiPriority w:val="99"/>
    <w:pPr>
      <w:tabs>
        <w:tab w:val="center" w:pos="4677"/>
        <w:tab w:val="right" w:pos="9355"/>
      </w:tabs>
    </w:pPr>
  </w:style>
  <w:style w:type="character" w:customStyle="1" w:styleId="aff8">
    <w:name w:val="Верхний колонтитул Знак"/>
    <w:aliases w:val="ho Знак,header odd Знак,first Знак,heading one Знак,h Знак1,h Знак Знак,הנדון Знак,hd Знак,Согласовано и Утверждено Знак"/>
    <w:basedOn w:val="10"/>
    <w:link w:val="aff7"/>
    <w:uiPriority w:val="99"/>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2">
    <w:name w:val="Table Grid"/>
    <w:basedOn w:val="a1"/>
    <w:uiPriority w:val="59"/>
    <w:pPr>
      <w:widowControl w:val="0"/>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semiHidden/>
    <w:unhideWhenUsed/>
    <w:rsid w:val="00DF5110"/>
    <w:rPr>
      <w:sz w:val="20"/>
    </w:rPr>
  </w:style>
  <w:style w:type="character" w:customStyle="1" w:styleId="affff5">
    <w:name w:val="Текст сноски Знак"/>
    <w:basedOn w:val="a0"/>
    <w:link w:val="affff4"/>
    <w:uiPriority w:val="99"/>
    <w:semiHidden/>
    <w:rsid w:val="00DF5110"/>
    <w:rPr>
      <w:rFonts w:ascii="Times New Roman" w:hAnsi="Times New Roman"/>
      <w:sz w:val="20"/>
    </w:rPr>
  </w:style>
  <w:style w:type="character" w:styleId="affff6">
    <w:name w:val="footnote reference"/>
    <w:basedOn w:val="a0"/>
    <w:uiPriority w:val="99"/>
    <w:semiHidden/>
    <w:unhideWhenUsed/>
    <w:rsid w:val="00DF5110"/>
    <w:rPr>
      <w:vertAlign w:val="superscript"/>
    </w:rPr>
  </w:style>
  <w:style w:type="character" w:customStyle="1" w:styleId="ConsPlusNormal1">
    <w:name w:val="ConsPlusNormal Знак"/>
    <w:locked/>
    <w:rsid w:val="004B1C8B"/>
    <w:rPr>
      <w:rFonts w:ascii="Arial" w:hAnsi="Arial" w:cs="Arial"/>
    </w:rPr>
  </w:style>
  <w:style w:type="table" w:customStyle="1" w:styleId="250">
    <w:name w:val="Сетка таблицы25"/>
    <w:basedOn w:val="a1"/>
    <w:next w:val="affff2"/>
    <w:uiPriority w:val="39"/>
    <w:rsid w:val="004B1C8B"/>
    <w:pPr>
      <w:spacing w:after="0" w:line="240" w:lineRule="auto"/>
    </w:pPr>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630891">
      <w:bodyDiv w:val="1"/>
      <w:marLeft w:val="0"/>
      <w:marRight w:val="0"/>
      <w:marTop w:val="0"/>
      <w:marBottom w:val="0"/>
      <w:divBdr>
        <w:top w:val="none" w:sz="0" w:space="0" w:color="auto"/>
        <w:left w:val="none" w:sz="0" w:space="0" w:color="auto"/>
        <w:bottom w:val="none" w:sz="0" w:space="0" w:color="auto"/>
        <w:right w:val="none" w:sz="0" w:space="0" w:color="auto"/>
      </w:divBdr>
    </w:div>
    <w:div w:id="783622388">
      <w:bodyDiv w:val="1"/>
      <w:marLeft w:val="0"/>
      <w:marRight w:val="0"/>
      <w:marTop w:val="0"/>
      <w:marBottom w:val="0"/>
      <w:divBdr>
        <w:top w:val="none" w:sz="0" w:space="0" w:color="auto"/>
        <w:left w:val="none" w:sz="0" w:space="0" w:color="auto"/>
        <w:bottom w:val="none" w:sz="0" w:space="0" w:color="auto"/>
        <w:right w:val="none" w:sz="0" w:space="0" w:color="auto"/>
      </w:divBdr>
      <w:divsChild>
        <w:div w:id="360208458">
          <w:marLeft w:val="0"/>
          <w:marRight w:val="0"/>
          <w:marTop w:val="0"/>
          <w:marBottom w:val="0"/>
          <w:divBdr>
            <w:top w:val="none" w:sz="0" w:space="0" w:color="auto"/>
            <w:left w:val="none" w:sz="0" w:space="0" w:color="auto"/>
            <w:bottom w:val="none" w:sz="0" w:space="0" w:color="auto"/>
            <w:right w:val="none" w:sz="0" w:space="0" w:color="auto"/>
          </w:divBdr>
        </w:div>
      </w:divsChild>
    </w:div>
    <w:div w:id="955912697">
      <w:bodyDiv w:val="1"/>
      <w:marLeft w:val="0"/>
      <w:marRight w:val="0"/>
      <w:marTop w:val="0"/>
      <w:marBottom w:val="0"/>
      <w:divBdr>
        <w:top w:val="none" w:sz="0" w:space="0" w:color="auto"/>
        <w:left w:val="none" w:sz="0" w:space="0" w:color="auto"/>
        <w:bottom w:val="none" w:sz="0" w:space="0" w:color="auto"/>
        <w:right w:val="none" w:sz="0" w:space="0" w:color="auto"/>
      </w:divBdr>
    </w:div>
    <w:div w:id="1213464609">
      <w:bodyDiv w:val="1"/>
      <w:marLeft w:val="0"/>
      <w:marRight w:val="0"/>
      <w:marTop w:val="0"/>
      <w:marBottom w:val="0"/>
      <w:divBdr>
        <w:top w:val="none" w:sz="0" w:space="0" w:color="auto"/>
        <w:left w:val="none" w:sz="0" w:space="0" w:color="auto"/>
        <w:bottom w:val="none" w:sz="0" w:space="0" w:color="auto"/>
        <w:right w:val="none" w:sz="0" w:space="0" w:color="auto"/>
      </w:divBdr>
    </w:div>
    <w:div w:id="13878773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5B886ED4AE08CFE5EDCC37FF75A73D9442707752176B0DC4A0D1E81D0212508993D0FAA0B4693AD0DA229C1811Bn3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5B886ED4AE08CFE5EDCC37FF75A73D9442707752176B0DC4A0D1E81D02125088B3D57A60B4585A658ED6F948EB09A4D11A75258CBB41En0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5B886ED4AE08CFE5EDCC37FF75A73D9442707752176B0DC4A0D1E81D0212508993D0FAA0B4693AD0DA229C1811Bn3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5B886ED4AE08CFE5EDCC37FF75A73D9442707752176B0DC4A0D1E81D02125088B3D57A60B4585A658ED6F948EB09A4D11A75258CBB41En0I" TargetMode="External"/><Relationship Id="rId4" Type="http://schemas.microsoft.com/office/2007/relationships/stylesWithEffects" Target="stylesWithEffects.xml"/><Relationship Id="rId9" Type="http://schemas.openxmlformats.org/officeDocument/2006/relationships/hyperlink" Target="consultantplus://offline/ref=B5B886ED4AE08CFE5EDCC37FF75A73D9442707752176B0DC4A0D1E81D02125088B3D57A60B4585A658ED6F948EB09A4D11A75258CBB41En0I"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A4199-B22C-4BB9-BFA5-B265A13F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2801</Words>
  <Characters>15966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Юсупова Светлана Владимировна</dc:creator>
  <cp:lastModifiedBy>Юсупова Светлана Владимировна</cp:lastModifiedBy>
  <cp:revision>3</cp:revision>
  <cp:lastPrinted>2022-03-01T12:21:00Z</cp:lastPrinted>
  <dcterms:created xsi:type="dcterms:W3CDTF">2022-03-09T13:25:00Z</dcterms:created>
  <dcterms:modified xsi:type="dcterms:W3CDTF">2022-03-10T09:10:00Z</dcterms:modified>
</cp:coreProperties>
</file>